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3A3C1B" w:rsidRDefault="009413BC" w:rsidP="007F354B">
      <w:pPr>
        <w:pStyle w:val="Ttulo1"/>
        <w:jc w:val="both"/>
        <w:rPr>
          <w:rFonts w:ascii="Helvetica" w:eastAsia="Times New Roman" w:hAnsi="Helvetica"/>
          <w:color w:val="auto"/>
          <w:sz w:val="18"/>
          <w:szCs w:val="18"/>
          <w:lang w:eastAsia="es-MX"/>
        </w:rPr>
      </w:pPr>
      <w:bookmarkStart w:id="0" w:name="RANGE!A1:F23"/>
      <w:bookmarkEnd w:id="0"/>
      <w:r w:rsidRPr="003A3C1B">
        <w:rPr>
          <w:rFonts w:ascii="Helvetica" w:eastAsia="Times New Roman" w:hAnsi="Helvetica"/>
          <w:color w:val="auto"/>
          <w:sz w:val="18"/>
          <w:szCs w:val="18"/>
          <w:lang w:eastAsia="es-MX"/>
        </w:rPr>
        <w:t>Validación de la TABLA DE APLICABILIDAD de las obligaciones de transparencia comunes del Poder Ejecutivo</w:t>
      </w:r>
    </w:p>
    <w:p w:rsidR="007F6843" w:rsidRPr="003A3C1B" w:rsidRDefault="00B65202" w:rsidP="003A3C1B">
      <w:pPr>
        <w:pStyle w:val="Ttulo1"/>
        <w:spacing w:line="240" w:lineRule="auto"/>
        <w:jc w:val="both"/>
        <w:rPr>
          <w:color w:val="auto"/>
          <w:lang w:eastAsia="es-MX"/>
        </w:rPr>
      </w:pPr>
      <w:r w:rsidRPr="003A3C1B">
        <w:rPr>
          <w:rFonts w:ascii="Helvetica" w:eastAsia="Times New Roman" w:hAnsi="Helvetica"/>
          <w:color w:val="auto"/>
          <w:sz w:val="18"/>
          <w:szCs w:val="18"/>
          <w:lang w:eastAsia="es-MX"/>
        </w:rPr>
        <w:t>Dependencia o entidad: OFICINA DE PENSIONES DEL ESTADO DE OAXACA</w:t>
      </w:r>
    </w:p>
    <w:p w:rsidR="007F6843" w:rsidRPr="003A3C1B" w:rsidRDefault="007F6843" w:rsidP="007F6843">
      <w:pPr>
        <w:rPr>
          <w:lang w:eastAsia="es-MX"/>
        </w:rPr>
      </w:pPr>
    </w:p>
    <w:tbl>
      <w:tblPr>
        <w:tblStyle w:val="Tablaconcuadrcula"/>
        <w:tblW w:w="0" w:type="auto"/>
        <w:tblInd w:w="1668" w:type="dxa"/>
        <w:tblLook w:val="04A0" w:firstRow="1" w:lastRow="0" w:firstColumn="1" w:lastColumn="0" w:noHBand="0" w:noVBand="1"/>
      </w:tblPr>
      <w:tblGrid>
        <w:gridCol w:w="5645"/>
        <w:gridCol w:w="4370"/>
      </w:tblGrid>
      <w:tr w:rsidR="003A3C1B" w:rsidRPr="003A3C1B" w:rsidTr="007F6843">
        <w:trPr>
          <w:trHeight w:val="878"/>
        </w:trPr>
        <w:tc>
          <w:tcPr>
            <w:tcW w:w="5645" w:type="dxa"/>
            <w:shd w:val="clear" w:color="auto" w:fill="D6E3BC" w:themeFill="accent3" w:themeFillTint="66"/>
            <w:vAlign w:val="center"/>
          </w:tcPr>
          <w:p w:rsidR="009413BC" w:rsidRPr="003A3C1B" w:rsidRDefault="009413BC" w:rsidP="007F354B">
            <w:pPr>
              <w:tabs>
                <w:tab w:val="left" w:pos="216"/>
              </w:tabs>
              <w:ind w:left="70"/>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Tipo de Sujeto obligado:</w:t>
            </w:r>
          </w:p>
        </w:tc>
        <w:tc>
          <w:tcPr>
            <w:tcW w:w="4370" w:type="dxa"/>
            <w:shd w:val="clear" w:color="auto" w:fill="D6E3BC" w:themeFill="accent3" w:themeFillTint="66"/>
            <w:vAlign w:val="center"/>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Documento de origen:</w:t>
            </w:r>
          </w:p>
        </w:tc>
      </w:tr>
      <w:tr w:rsidR="003A3C1B" w:rsidRPr="003A3C1B" w:rsidTr="007F6843">
        <w:trPr>
          <w:trHeight w:val="296"/>
        </w:trPr>
        <w:tc>
          <w:tcPr>
            <w:tcW w:w="5645"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Administración Centralizada</w:t>
            </w:r>
          </w:p>
        </w:tc>
        <w:tc>
          <w:tcPr>
            <w:tcW w:w="4370"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p>
        </w:tc>
      </w:tr>
      <w:tr w:rsidR="003A3C1B" w:rsidRPr="003A3C1B" w:rsidTr="007F6843">
        <w:trPr>
          <w:trHeight w:val="296"/>
        </w:trPr>
        <w:tc>
          <w:tcPr>
            <w:tcW w:w="5645"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Desconcentrado</w:t>
            </w:r>
          </w:p>
        </w:tc>
        <w:tc>
          <w:tcPr>
            <w:tcW w:w="4370"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p>
        </w:tc>
      </w:tr>
      <w:tr w:rsidR="003A3C1B" w:rsidRPr="003A3C1B" w:rsidTr="007F6843">
        <w:trPr>
          <w:trHeight w:val="886"/>
        </w:trPr>
        <w:tc>
          <w:tcPr>
            <w:tcW w:w="5645"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Descentralizado</w:t>
            </w:r>
          </w:p>
        </w:tc>
        <w:tc>
          <w:tcPr>
            <w:tcW w:w="4370" w:type="dxa"/>
          </w:tcPr>
          <w:p w:rsidR="009413BC" w:rsidRPr="003A3C1B" w:rsidRDefault="00B65202"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LEY DE PENSIONES PARA LOS TRABAJADORES DEL GOBIERNO DEL ESTADO DE OAXACA</w:t>
            </w:r>
          </w:p>
        </w:tc>
      </w:tr>
      <w:tr w:rsidR="003A3C1B" w:rsidRPr="003A3C1B" w:rsidTr="007F6843">
        <w:trPr>
          <w:trHeight w:val="296"/>
        </w:trPr>
        <w:tc>
          <w:tcPr>
            <w:tcW w:w="5645"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Empresa de Participación Estatal Mayoritaria</w:t>
            </w:r>
          </w:p>
        </w:tc>
        <w:tc>
          <w:tcPr>
            <w:tcW w:w="4370"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p>
        </w:tc>
      </w:tr>
      <w:tr w:rsidR="009413BC" w:rsidRPr="003A3C1B" w:rsidTr="007F6843">
        <w:trPr>
          <w:trHeight w:val="313"/>
        </w:trPr>
        <w:tc>
          <w:tcPr>
            <w:tcW w:w="5645"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r w:rsidRPr="003A3C1B">
              <w:rPr>
                <w:rFonts w:ascii="Helvetica" w:eastAsia="Times New Roman" w:hAnsi="Helvetica" w:cs="Times New Roman"/>
                <w:b/>
                <w:bCs/>
                <w:sz w:val="18"/>
                <w:szCs w:val="18"/>
                <w:lang w:eastAsia="es-MX"/>
              </w:rPr>
              <w:t>Fideicomisos, Fondos y Mandatos</w:t>
            </w:r>
          </w:p>
        </w:tc>
        <w:tc>
          <w:tcPr>
            <w:tcW w:w="4370" w:type="dxa"/>
          </w:tcPr>
          <w:p w:rsidR="009413BC" w:rsidRPr="003A3C1B" w:rsidRDefault="009413BC" w:rsidP="007F354B">
            <w:pPr>
              <w:tabs>
                <w:tab w:val="left" w:pos="216"/>
              </w:tabs>
              <w:jc w:val="both"/>
              <w:rPr>
                <w:rFonts w:ascii="Helvetica" w:eastAsia="Times New Roman" w:hAnsi="Helvetica" w:cs="Times New Roman"/>
                <w:b/>
                <w:bCs/>
                <w:sz w:val="18"/>
                <w:szCs w:val="18"/>
                <w:lang w:eastAsia="es-MX"/>
              </w:rPr>
            </w:pPr>
          </w:p>
        </w:tc>
      </w:tr>
    </w:tbl>
    <w:p w:rsidR="009413BC" w:rsidRPr="003A3C1B" w:rsidRDefault="009413BC" w:rsidP="007F354B">
      <w:pPr>
        <w:tabs>
          <w:tab w:val="left" w:pos="216"/>
        </w:tabs>
        <w:spacing w:after="0" w:line="240" w:lineRule="auto"/>
        <w:ind w:left="70"/>
        <w:jc w:val="both"/>
        <w:rPr>
          <w:rFonts w:ascii="Helvetica" w:eastAsia="Times New Roman" w:hAnsi="Helvetica" w:cs="Times New Roman"/>
          <w:b/>
          <w:bCs/>
          <w:sz w:val="18"/>
          <w:szCs w:val="18"/>
          <w:lang w:eastAsia="es-MX"/>
        </w:rPr>
      </w:pPr>
    </w:p>
    <w:p w:rsidR="007F6843" w:rsidRPr="003A3C1B" w:rsidRDefault="007F6843" w:rsidP="007F354B">
      <w:pPr>
        <w:tabs>
          <w:tab w:val="left" w:pos="216"/>
        </w:tabs>
        <w:spacing w:after="0" w:line="240" w:lineRule="auto"/>
        <w:ind w:left="70"/>
        <w:jc w:val="both"/>
        <w:rPr>
          <w:rFonts w:ascii="Helvetica" w:eastAsia="Times New Roman" w:hAnsi="Helvetica" w:cs="Times New Roman"/>
          <w:b/>
          <w:bCs/>
          <w:sz w:val="18"/>
          <w:szCs w:val="18"/>
          <w:lang w:eastAsia="es-MX"/>
        </w:rPr>
      </w:pPr>
    </w:p>
    <w:p w:rsidR="007F6843" w:rsidRPr="003A3C1B" w:rsidRDefault="007F6843" w:rsidP="007F354B">
      <w:pPr>
        <w:tabs>
          <w:tab w:val="left" w:pos="216"/>
        </w:tabs>
        <w:spacing w:after="0" w:line="240" w:lineRule="auto"/>
        <w:ind w:left="70"/>
        <w:jc w:val="both"/>
        <w:rPr>
          <w:rFonts w:ascii="Helvetica" w:eastAsia="Times New Roman" w:hAnsi="Helvetica" w:cs="Times New Roman"/>
          <w:b/>
          <w:bCs/>
          <w:sz w:val="18"/>
          <w:szCs w:val="18"/>
          <w:lang w:eastAsia="es-MX"/>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977"/>
        <w:gridCol w:w="1276"/>
        <w:gridCol w:w="2768"/>
        <w:gridCol w:w="2693"/>
        <w:gridCol w:w="1417"/>
        <w:gridCol w:w="1135"/>
        <w:gridCol w:w="1134"/>
      </w:tblGrid>
      <w:tr w:rsidR="003A3C1B" w:rsidRPr="003A3C1B" w:rsidTr="002E408F">
        <w:trPr>
          <w:trHeight w:val="907"/>
          <w:tblHeader/>
        </w:trPr>
        <w:tc>
          <w:tcPr>
            <w:tcW w:w="1271" w:type="dxa"/>
            <w:shd w:val="clear" w:color="auto" w:fill="D6E3BC" w:themeFill="accent3" w:themeFillTint="66"/>
            <w:noWrap/>
            <w:vAlign w:val="center"/>
            <w:hideMark/>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ARTÍCULO</w:t>
            </w:r>
          </w:p>
        </w:tc>
        <w:tc>
          <w:tcPr>
            <w:tcW w:w="2977" w:type="dxa"/>
            <w:shd w:val="clear" w:color="auto" w:fill="D6E3BC" w:themeFill="accent3" w:themeFillTint="66"/>
            <w:vAlign w:val="center"/>
            <w:hideMark/>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FRACCIÓN</w:t>
            </w:r>
          </w:p>
        </w:tc>
        <w:tc>
          <w:tcPr>
            <w:tcW w:w="1276" w:type="dxa"/>
            <w:shd w:val="clear" w:color="auto" w:fill="D6E3BC" w:themeFill="accent3" w:themeFillTint="66"/>
            <w:vAlign w:val="center"/>
          </w:tcPr>
          <w:p w:rsidR="009413BC" w:rsidRPr="003A3C1B" w:rsidRDefault="009413BC" w:rsidP="009568C0">
            <w:pPr>
              <w:spacing w:after="0" w:line="240" w:lineRule="auto"/>
              <w:ind w:right="-119"/>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APLICA/NO APLICA</w:t>
            </w:r>
          </w:p>
        </w:tc>
        <w:tc>
          <w:tcPr>
            <w:tcW w:w="2768" w:type="dxa"/>
            <w:shd w:val="clear" w:color="auto" w:fill="D6E3BC" w:themeFill="accent3" w:themeFillTint="66"/>
            <w:vAlign w:val="center"/>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MOTIVACIÓN</w:t>
            </w:r>
          </w:p>
        </w:tc>
        <w:tc>
          <w:tcPr>
            <w:tcW w:w="2693" w:type="dxa"/>
            <w:shd w:val="clear" w:color="auto" w:fill="D6E3BC" w:themeFill="accent3" w:themeFillTint="66"/>
            <w:vAlign w:val="center"/>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FUNDAMENTO</w:t>
            </w:r>
          </w:p>
        </w:tc>
        <w:tc>
          <w:tcPr>
            <w:tcW w:w="1417" w:type="dxa"/>
            <w:shd w:val="clear" w:color="auto" w:fill="D6E3BC" w:themeFill="accent3" w:themeFillTint="66"/>
            <w:vAlign w:val="center"/>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UNIDAD ADMINISTRATIVA RESPONSABLE DE GENERAR LA INFORMACIÓN</w:t>
            </w:r>
          </w:p>
        </w:tc>
        <w:tc>
          <w:tcPr>
            <w:tcW w:w="1135" w:type="dxa"/>
            <w:shd w:val="clear" w:color="auto" w:fill="D6E3BC" w:themeFill="accent3" w:themeFillTint="66"/>
            <w:vAlign w:val="center"/>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OBSERVACIONES</w:t>
            </w:r>
          </w:p>
        </w:tc>
        <w:tc>
          <w:tcPr>
            <w:tcW w:w="1134" w:type="dxa"/>
            <w:shd w:val="clear" w:color="auto" w:fill="D6E3BC" w:themeFill="accent3" w:themeFillTint="66"/>
            <w:vAlign w:val="center"/>
          </w:tcPr>
          <w:p w:rsidR="009413BC" w:rsidRPr="003A3C1B" w:rsidRDefault="009413BC" w:rsidP="009568C0">
            <w:pPr>
              <w:spacing w:after="0" w:line="240" w:lineRule="auto"/>
              <w:jc w:val="center"/>
              <w:rPr>
                <w:rFonts w:ascii="Helvetica" w:eastAsia="Times New Roman" w:hAnsi="Helvetica" w:cs="Times New Roman"/>
                <w:b/>
                <w:sz w:val="18"/>
                <w:szCs w:val="18"/>
                <w:lang w:eastAsia="es-MX"/>
              </w:rPr>
            </w:pPr>
            <w:r w:rsidRPr="003A3C1B">
              <w:rPr>
                <w:rFonts w:ascii="Helvetica" w:eastAsia="Times New Roman" w:hAnsi="Helvetica" w:cs="Times New Roman"/>
                <w:b/>
                <w:sz w:val="18"/>
                <w:szCs w:val="18"/>
                <w:lang w:eastAsia="es-MX"/>
              </w:rPr>
              <w:t>VALIDACIÓN IAIP</w:t>
            </w:r>
          </w:p>
        </w:tc>
      </w:tr>
      <w:tr w:rsidR="003A3C1B" w:rsidRPr="003A3C1B" w:rsidTr="002E408F">
        <w:trPr>
          <w:trHeight w:val="768"/>
        </w:trPr>
        <w:tc>
          <w:tcPr>
            <w:tcW w:w="1271" w:type="dxa"/>
            <w:vMerge w:val="restart"/>
            <w:shd w:val="clear" w:color="auto" w:fill="auto"/>
            <w:vAlign w:val="center"/>
            <w:hideMark/>
          </w:tcPr>
          <w:p w:rsidR="009413BC" w:rsidRPr="003A3C1B" w:rsidRDefault="009413BC"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r w:rsidRPr="003A3C1B">
              <w:rPr>
                <w:rFonts w:ascii="Helvetica" w:eastAsia="Times New Roman" w:hAnsi="Helvetica" w:cs="Times New Roman"/>
                <w:b/>
                <w:bCs/>
                <w:i/>
                <w:iCs/>
                <w:sz w:val="18"/>
                <w:szCs w:val="18"/>
                <w:lang w:eastAsia="es-MX"/>
              </w:rPr>
              <w:br/>
            </w:r>
            <w:r w:rsidRPr="003A3C1B">
              <w:rPr>
                <w:rFonts w:ascii="Helvetica" w:eastAsia="Times New Roman" w:hAnsi="Helvetica" w:cs="Times New Roman"/>
                <w:i/>
                <w:iCs/>
                <w:sz w:val="18"/>
                <w:szCs w:val="18"/>
                <w:lang w:eastAsia="es-MX"/>
              </w:rPr>
              <w:t xml:space="preserve">En la Ley Federal y de las Entidades Federativas se contemplará que los sujetos obligados pongan a disposición del público y mantengan actualizada, en los </w:t>
            </w:r>
            <w:r w:rsidRPr="003A3C1B">
              <w:rPr>
                <w:rFonts w:ascii="Helvetica" w:eastAsia="Times New Roman" w:hAnsi="Helvetica" w:cs="Times New Roman"/>
                <w:i/>
                <w:iCs/>
                <w:sz w:val="18"/>
                <w:szCs w:val="18"/>
                <w:lang w:eastAsia="es-MX"/>
              </w:rPr>
              <w:lastRenderedPageBreak/>
              <w:t>respectivos medios electrónicos, de acuerdo con sus facultades, atribuciones, funciones u objeto social, según corresponda, la información, por lo menos, de los temas, documentos y políticas que a continuación se señalan:</w:t>
            </w:r>
          </w:p>
        </w:tc>
        <w:tc>
          <w:tcPr>
            <w:tcW w:w="2977" w:type="dxa"/>
            <w:shd w:val="clear" w:color="auto" w:fill="auto"/>
            <w:hideMark/>
          </w:tcPr>
          <w:p w:rsidR="009413BC" w:rsidRPr="003A3C1B" w:rsidRDefault="009413BC"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 xml:space="preserve">Fracción I </w:t>
            </w:r>
            <w:r w:rsidRPr="003A3C1B">
              <w:rPr>
                <w:rFonts w:ascii="Helvetica" w:eastAsia="Times New Roman" w:hAnsi="Helvetica"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tc>
        <w:tc>
          <w:tcPr>
            <w:tcW w:w="1276" w:type="dxa"/>
            <w:shd w:val="clear" w:color="auto" w:fill="auto"/>
            <w:vAlign w:val="center"/>
          </w:tcPr>
          <w:p w:rsidR="009413BC" w:rsidRPr="003A3C1B" w:rsidRDefault="00B65202"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9413BC" w:rsidRPr="003A3C1B" w:rsidRDefault="00997D7C"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La Oficina de Pensiones del Estado de Oaxaca, </w:t>
            </w:r>
            <w:r w:rsidR="00307E1E" w:rsidRPr="003A3C1B">
              <w:rPr>
                <w:rFonts w:ascii="Helvetica" w:eastAsia="Times New Roman" w:hAnsi="Helvetica" w:cs="Times New Roman"/>
                <w:sz w:val="18"/>
                <w:szCs w:val="18"/>
                <w:lang w:eastAsia="es-MX"/>
              </w:rPr>
              <w:t xml:space="preserve">es una </w:t>
            </w:r>
            <w:r w:rsidR="00D36FDD" w:rsidRPr="003A3C1B">
              <w:rPr>
                <w:rFonts w:ascii="Helvetica" w:eastAsia="Times New Roman" w:hAnsi="Helvetica" w:cs="Times New Roman"/>
                <w:sz w:val="18"/>
                <w:szCs w:val="18"/>
                <w:lang w:eastAsia="es-MX"/>
              </w:rPr>
              <w:t>E</w:t>
            </w:r>
            <w:r w:rsidR="00307E1E" w:rsidRPr="003A3C1B">
              <w:rPr>
                <w:rFonts w:ascii="Helvetica" w:eastAsia="Times New Roman" w:hAnsi="Helvetica" w:cs="Times New Roman"/>
                <w:sz w:val="18"/>
                <w:szCs w:val="18"/>
                <w:lang w:eastAsia="es-MX"/>
              </w:rPr>
              <w:t>ntidad Paraestatal que funciona dentro del marco normativo consistente en la Ley de Pensiones para los Trabajadores del Gobierno del Estado de Oaxaca</w:t>
            </w:r>
            <w:r w:rsidR="00D36FDD" w:rsidRPr="003A3C1B">
              <w:rPr>
                <w:rFonts w:ascii="Helvetica" w:eastAsia="Times New Roman" w:hAnsi="Helvetica" w:cs="Times New Roman"/>
                <w:sz w:val="18"/>
                <w:szCs w:val="18"/>
                <w:lang w:eastAsia="es-MX"/>
              </w:rPr>
              <w:t xml:space="preserve">, Reglamento Interno de la Oficina de Pensiones del Estado de Oaxaca, Reglamento de Operación de la Oficina de Pensiones </w:t>
            </w:r>
            <w:r w:rsidR="00A257C4" w:rsidRPr="003A3C1B">
              <w:rPr>
                <w:rFonts w:ascii="Helvetica" w:eastAsia="Times New Roman" w:hAnsi="Helvetica" w:cs="Times New Roman"/>
                <w:sz w:val="18"/>
                <w:szCs w:val="18"/>
                <w:lang w:eastAsia="es-MX"/>
              </w:rPr>
              <w:t xml:space="preserve">y Reglas de Seguro de vida y otorgamiento de Servicio Médico de la Oficina de Pensiones. </w:t>
            </w:r>
          </w:p>
        </w:tc>
        <w:tc>
          <w:tcPr>
            <w:tcW w:w="2693" w:type="dxa"/>
            <w:shd w:val="clear" w:color="auto" w:fill="auto"/>
            <w:vAlign w:val="center"/>
          </w:tcPr>
          <w:p w:rsidR="009413BC" w:rsidRPr="003A3C1B" w:rsidRDefault="00A42755" w:rsidP="007F354B">
            <w:pPr>
              <w:spacing w:before="120" w:after="120" w:line="240" w:lineRule="auto"/>
              <w:ind w:right="69"/>
              <w:jc w:val="both"/>
              <w:rPr>
                <w:rFonts w:ascii="Helvetica" w:eastAsia="Times New Roman" w:hAnsi="Helvetica" w:cs="Times New Roman"/>
                <w:sz w:val="18"/>
                <w:szCs w:val="18"/>
                <w:lang w:eastAsia="es-MX"/>
              </w:rPr>
            </w:pPr>
            <w:r w:rsidRPr="003A3C1B">
              <w:rPr>
                <w:rFonts w:ascii="Helvetica" w:hAnsi="Helvetica"/>
                <w:sz w:val="18"/>
                <w:szCs w:val="18"/>
              </w:rPr>
              <w:t>A</w:t>
            </w:r>
            <w:r w:rsidR="00E70471" w:rsidRPr="003A3C1B">
              <w:rPr>
                <w:rFonts w:ascii="Helvetica" w:hAnsi="Helvetica"/>
                <w:sz w:val="18"/>
                <w:szCs w:val="18"/>
              </w:rPr>
              <w:t xml:space="preserve">rtículo 3° fracción II de la Ley Orgánica del Poder Ejecutivo del Estado de Oaxaca; 1°, 2° fracción </w:t>
            </w:r>
            <w:r w:rsidR="00F53616" w:rsidRPr="003A3C1B">
              <w:rPr>
                <w:rFonts w:ascii="Helvetica" w:hAnsi="Helvetica"/>
                <w:sz w:val="18"/>
                <w:szCs w:val="18"/>
              </w:rPr>
              <w:t>VII</w:t>
            </w:r>
            <w:r w:rsidR="00E70471" w:rsidRPr="003A3C1B">
              <w:rPr>
                <w:rFonts w:ascii="Helvetica" w:hAnsi="Helvetica"/>
                <w:sz w:val="18"/>
                <w:szCs w:val="18"/>
              </w:rPr>
              <w:t>, 4°, 13, 14 de la Ley de Entidades Paraestatales del Estado de Oaxaca y</w:t>
            </w:r>
            <w:r w:rsidR="00E9587A" w:rsidRPr="003A3C1B">
              <w:rPr>
                <w:rFonts w:ascii="Helvetica" w:hAnsi="Helvetica"/>
                <w:sz w:val="18"/>
                <w:szCs w:val="18"/>
              </w:rPr>
              <w:t>8</w:t>
            </w:r>
            <w:r w:rsidR="00E70471" w:rsidRPr="003A3C1B">
              <w:rPr>
                <w:rFonts w:ascii="Helvetica" w:hAnsi="Helvetica"/>
                <w:sz w:val="18"/>
                <w:szCs w:val="18"/>
              </w:rPr>
              <w:t>9 de la Ley de Pensiones para los Trabajadores del Gobierno del Estado de Oaxaca.</w:t>
            </w:r>
          </w:p>
        </w:tc>
        <w:tc>
          <w:tcPr>
            <w:tcW w:w="1417" w:type="dxa"/>
            <w:vAlign w:val="center"/>
          </w:tcPr>
          <w:p w:rsidR="009413BC" w:rsidRPr="003A3C1B" w:rsidRDefault="00C24869"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de Normatividad Seguimiento y Control</w:t>
            </w:r>
          </w:p>
        </w:tc>
        <w:tc>
          <w:tcPr>
            <w:tcW w:w="1135" w:type="dxa"/>
          </w:tcPr>
          <w:p w:rsidR="009413BC" w:rsidRPr="003A3C1B" w:rsidRDefault="009413BC" w:rsidP="007F354B">
            <w:pPr>
              <w:spacing w:after="0" w:line="240" w:lineRule="auto"/>
              <w:jc w:val="both"/>
              <w:rPr>
                <w:rFonts w:ascii="Helvetica" w:eastAsia="Times New Roman" w:hAnsi="Helvetica" w:cs="Times New Roman"/>
                <w:sz w:val="18"/>
                <w:szCs w:val="18"/>
                <w:lang w:eastAsia="es-MX"/>
              </w:rPr>
            </w:pPr>
          </w:p>
        </w:tc>
        <w:tc>
          <w:tcPr>
            <w:tcW w:w="1134" w:type="dxa"/>
            <w:vAlign w:val="center"/>
          </w:tcPr>
          <w:p w:rsidR="009413BC"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VALIDADA</w:t>
            </w:r>
          </w:p>
        </w:tc>
      </w:tr>
      <w:tr w:rsidR="003A3C1B" w:rsidRPr="003A3C1B" w:rsidTr="001A1A48">
        <w:trPr>
          <w:trHeight w:val="2025"/>
        </w:trPr>
        <w:tc>
          <w:tcPr>
            <w:tcW w:w="1271" w:type="dxa"/>
            <w:vMerge/>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II </w:t>
            </w:r>
            <w:r w:rsidRPr="003A3C1B">
              <w:rPr>
                <w:rFonts w:ascii="Helvetica" w:eastAsia="Times New Roman" w:hAnsi="Helvetica"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La organización y funcionamiento de la Oficina de Pensiones del Estado de Oaxaca, cuenta con la aprobación de un organigrama aprobado por poder ejecutivo, en concordancia al Reglamento Interno de la Oficina de Pensiones.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Artículo 79 de la Ley de Pensiones para los Trabadores del Gobierno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de Normatividad Seguimiento y Control.</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510"/>
        </w:trPr>
        <w:tc>
          <w:tcPr>
            <w:tcW w:w="1271" w:type="dxa"/>
            <w:vMerge/>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III </w:t>
            </w:r>
            <w:r w:rsidRPr="003A3C1B">
              <w:rPr>
                <w:rFonts w:ascii="Helvetica" w:eastAsia="Times New Roman" w:hAnsi="Helvetica" w:cs="Times New Roman"/>
                <w:i/>
                <w:iCs/>
                <w:sz w:val="18"/>
                <w:szCs w:val="18"/>
                <w:lang w:eastAsia="es-MX"/>
              </w:rPr>
              <w:t>Las facultades de cada Área;</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Se encuentran establecidas en el Reglamento Interno de la Oficina de Pensiones.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Reglamento Interno de la Oficina de Pensiones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de Normatividad Seguimiento y Control.</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27"/>
        </w:trPr>
        <w:tc>
          <w:tcPr>
            <w:tcW w:w="1271" w:type="dxa"/>
            <w:vMerge/>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IV </w:t>
            </w:r>
            <w:r w:rsidRPr="003A3C1B">
              <w:rPr>
                <w:rFonts w:ascii="Helvetica" w:eastAsia="Times New Roman" w:hAnsi="Helvetica" w:cs="Times New Roman"/>
                <w:i/>
                <w:iCs/>
                <w:sz w:val="18"/>
                <w:szCs w:val="18"/>
                <w:lang w:eastAsia="es-MX"/>
              </w:rPr>
              <w:t>Las metas y objetivos de las Áreas de conformidad con sus programas operativos;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Las entidades paraestatales deben presupuestar sus ejercicios fiscales a través de un Programa Operativo Anual (POA)</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highlight w:val="darkBlue"/>
                <w:lang w:eastAsia="es-MX"/>
              </w:rPr>
            </w:pPr>
            <w:r w:rsidRPr="003A3C1B">
              <w:rPr>
                <w:rFonts w:ascii="Helvetica" w:eastAsia="Times New Roman" w:hAnsi="Helvetica" w:cs="Times New Roman"/>
                <w:sz w:val="18"/>
                <w:szCs w:val="18"/>
                <w:lang w:eastAsia="es-MX"/>
              </w:rPr>
              <w:t>Ley Estatal de Presupuesto y Responsabilidad Hacendaria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236"/>
        </w:trPr>
        <w:tc>
          <w:tcPr>
            <w:tcW w:w="1271" w:type="dxa"/>
            <w:vMerge/>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Fracción V</w:t>
            </w:r>
            <w:r w:rsidRPr="003A3C1B">
              <w:rPr>
                <w:rFonts w:ascii="Helvetica" w:eastAsia="Times New Roman" w:hAnsi="Helvetica" w:cs="Times New Roman"/>
                <w:i/>
                <w:iCs/>
                <w:sz w:val="18"/>
                <w:szCs w:val="18"/>
                <w:lang w:eastAsia="es-MX"/>
              </w:rPr>
              <w:br w:type="page"/>
            </w:r>
            <w:r w:rsidRPr="003A3C1B">
              <w:rPr>
                <w:rFonts w:ascii="Helvetica" w:eastAsia="Times New Roman" w:hAnsi="Helvetica" w:cs="Times New Roman"/>
                <w:i/>
                <w:iCs/>
                <w:sz w:val="18"/>
                <w:szCs w:val="18"/>
                <w:lang w:eastAsia="es-MX"/>
              </w:rPr>
              <w:br w:type="page"/>
              <w:t xml:space="preserve"> Los indicadores relacionados con temas de interés público o trascendencia social que conforme a sus funciones, deban establecer;</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9E4F01">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Derivado de que las Entidades Paraestatales se encuentran sujetas a un Programa Operativo anual, derivado de ello ésta entidad se encuentra obligada a la publicación  Trimestral de los indicadores, conforme a las metas y objetivos planteados.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highlight w:val="darkBlue"/>
                <w:lang w:eastAsia="es-MX"/>
              </w:rPr>
            </w:pPr>
            <w:r w:rsidRPr="003A3C1B">
              <w:rPr>
                <w:rFonts w:ascii="Helvetica" w:eastAsia="Times New Roman" w:hAnsi="Helvetica" w:cs="Times New Roman"/>
                <w:sz w:val="18"/>
                <w:szCs w:val="18"/>
                <w:lang w:eastAsia="es-MX"/>
              </w:rPr>
              <w:t>Ley Estatal de Presupuesto y Responsabilidad Hacendaria, Ley General de Contabilidad Gubernamental.</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702"/>
        </w:trPr>
        <w:tc>
          <w:tcPr>
            <w:tcW w:w="1271" w:type="dxa"/>
            <w:vMerge/>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VI </w:t>
            </w:r>
            <w:r w:rsidRPr="003A3C1B">
              <w:rPr>
                <w:rFonts w:ascii="Helvetica" w:eastAsia="Times New Roman" w:hAnsi="Helvetica" w:cs="Times New Roman"/>
                <w:i/>
                <w:iCs/>
                <w:sz w:val="18"/>
                <w:szCs w:val="18"/>
                <w:lang w:eastAsia="es-MX"/>
              </w:rPr>
              <w:t>Los indicadores que permitan rendir cuenta de sus objetivos y resultados;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La Oficina de Pensiones como Entidad Paraestatal, como ejecutora de gasto, se encuentra obligada para dar a conocer sus avances conforme a su Programa Operativo anual</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Estatal de Presupuesto y Responsabilidad Hacendaria, Ley General de Contabilidad Gubernamental.</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573"/>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VII </w:t>
            </w:r>
            <w:r w:rsidRPr="003A3C1B">
              <w:rPr>
                <w:rFonts w:ascii="Helvetica" w:eastAsia="Times New Roman" w:hAnsi="Helvetica" w:cs="Times New Roman"/>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w:t>
            </w:r>
            <w:r w:rsidRPr="003A3C1B">
              <w:rPr>
                <w:rFonts w:ascii="Helvetica" w:eastAsia="Times New Roman" w:hAnsi="Helvetica" w:cs="Times New Roman"/>
                <w:i/>
                <w:iCs/>
                <w:sz w:val="18"/>
                <w:szCs w:val="18"/>
                <w:lang w:eastAsia="es-MX"/>
              </w:rPr>
              <w:lastRenderedPageBreak/>
              <w:t>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lastRenderedPageBreak/>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Se encuentra como obligación legal y como parte esencial de la efectividad de los Servicios que Presta la Oficina de Pensiones.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Reglamento Interno de la Oficina de Pensiones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de Normatividad Seguimiento y Control.</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244"/>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VIII </w:t>
            </w:r>
            <w:r w:rsidRPr="003A3C1B">
              <w:rPr>
                <w:rFonts w:ascii="Helvetica" w:eastAsia="Times New Roman" w:hAnsi="Helvetica"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Se encuentra como obligación legal y como parte esencial de la efectividad de los Servicios que Presta la Oficina de Pensiones.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Reglamento Interno de la Oficina de Pensiones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647"/>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IX </w:t>
            </w:r>
            <w:r w:rsidRPr="003A3C1B">
              <w:rPr>
                <w:rFonts w:ascii="Helvetica" w:eastAsia="Times New Roman" w:hAnsi="Helvetica" w:cs="Times New Roman"/>
                <w:i/>
                <w:iCs/>
                <w:sz w:val="18"/>
                <w:szCs w:val="18"/>
                <w:lang w:eastAsia="es-MX"/>
              </w:rPr>
              <w:t>Los gastos de representación y viáticos, así como el objeto e informe de comisión correspondiente;</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Existe la obligación de transparentar los gastos y viáticos que sean en cumplimiento a los servicios que presta la Oficina de Pensiones, cuyo recurso sea autorizado y otorgado por el ejecutivo, ya sea con cargo al fondo de pensiones o a una partida presupuestal. </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Ley Estatal de Presupuesto y Responsabilidad Hacendaria, Ley General de Contabilidad Gubernamental y el Reglamento de la Ley Estatal de Presupuesto y Responsabilidad Hacendaria </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111"/>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r w:rsidRPr="003A3C1B">
              <w:rPr>
                <w:rFonts w:ascii="Helvetica" w:eastAsia="Times New Roman" w:hAnsi="Helvetica" w:cs="Times New Roman"/>
                <w:b/>
                <w:bCs/>
                <w:i/>
                <w:iCs/>
                <w:sz w:val="18"/>
                <w:szCs w:val="18"/>
                <w:lang w:eastAsia="es-MX"/>
              </w:rPr>
              <w:br w:type="page"/>
            </w:r>
            <w:r w:rsidRPr="003A3C1B">
              <w:rPr>
                <w:rFonts w:ascii="Helvetica" w:eastAsia="Times New Roman" w:hAnsi="Helvetica" w:cs="Times New Roman"/>
                <w:i/>
                <w:iCs/>
                <w:sz w:val="18"/>
                <w:szCs w:val="18"/>
                <w:lang w:eastAsia="es-MX"/>
              </w:rPr>
              <w:br w:type="page"/>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Fracción X</w:t>
            </w:r>
            <w:r w:rsidRPr="003A3C1B">
              <w:rPr>
                <w:rFonts w:ascii="Helvetica" w:eastAsia="Times New Roman" w:hAnsi="Helvetica" w:cs="Times New Roman"/>
                <w:i/>
                <w:iCs/>
                <w:sz w:val="18"/>
                <w:szCs w:val="18"/>
                <w:lang w:eastAsia="es-MX"/>
              </w:rPr>
              <w:br w:type="page"/>
            </w:r>
            <w:r w:rsidRPr="003A3C1B">
              <w:rPr>
                <w:rFonts w:ascii="Helvetica" w:eastAsia="Times New Roman" w:hAnsi="Helvetica"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En razón que el personal de la Oficina de Pensiones se encuentra sujeto al proceso establecido en la Normatividad en Recursos Humanos para las Dependencias y Entidades Paraestatales de la Administración Pública del Estado de Oaxaca.                          </w:t>
            </w:r>
          </w:p>
        </w:tc>
        <w:tc>
          <w:tcPr>
            <w:tcW w:w="2693" w:type="dxa"/>
            <w:shd w:val="clear" w:color="auto" w:fill="auto"/>
            <w:vAlign w:val="center"/>
          </w:tcPr>
          <w:p w:rsidR="00AE0D7A" w:rsidRPr="003A3C1B" w:rsidRDefault="00AE0D7A" w:rsidP="00E9587A">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Artículo 89 de la Ley de Pensiones para los Trabajadores del Gobierno del Estado de Oaxaca, </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39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XI </w:t>
            </w:r>
            <w:r w:rsidRPr="003A3C1B">
              <w:rPr>
                <w:rFonts w:ascii="Helvetica" w:eastAsia="Times New Roman" w:hAnsi="Helvetica"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El Consejo Directivo de Pensiones, autorizó la contratación con cargo al Fondo de Pensiones de prestadores de servicio para cursos a jubilados Pensionados y Pensionistas.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El órgano de gobierno con las facultades que le confiere el artículo 88 la Ley de Pensiones para los trabajadores del Gobierno del Estado, en relación con los artículos 11 y 12 de la Ley de Entidades Paraestatales del Estado de Oaxaca, </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335"/>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XII </w:t>
            </w:r>
            <w:r w:rsidRPr="003A3C1B">
              <w:rPr>
                <w:rFonts w:ascii="Helvetica" w:eastAsia="Times New Roman" w:hAnsi="Helvetica"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Por disposición legal se encuentran obligadas las Entidades Paraestatal</w:t>
            </w:r>
          </w:p>
          <w:p w:rsidR="00AE0D7A" w:rsidRPr="003A3C1B" w:rsidRDefault="00AE0D7A" w:rsidP="007F354B">
            <w:pPr>
              <w:spacing w:after="0" w:line="240" w:lineRule="auto"/>
              <w:jc w:val="both"/>
              <w:rPr>
                <w:rFonts w:ascii="Helvetica" w:eastAsia="Times New Roman" w:hAnsi="Helvetica" w:cs="Times New Roman"/>
                <w:sz w:val="18"/>
                <w:szCs w:val="18"/>
                <w:lang w:eastAsia="es-MX"/>
              </w:rPr>
            </w:pPr>
            <w:proofErr w:type="gramStart"/>
            <w:r w:rsidRPr="003A3C1B">
              <w:rPr>
                <w:rFonts w:ascii="Helvetica" w:eastAsia="Times New Roman" w:hAnsi="Helvetica" w:cs="Times New Roman"/>
                <w:sz w:val="18"/>
                <w:szCs w:val="18"/>
                <w:lang w:eastAsia="es-MX"/>
              </w:rPr>
              <w:t>es</w:t>
            </w:r>
            <w:proofErr w:type="gramEnd"/>
            <w:r w:rsidRPr="003A3C1B">
              <w:rPr>
                <w:rFonts w:ascii="Helvetica" w:eastAsia="Times New Roman" w:hAnsi="Helvetica" w:cs="Times New Roman"/>
                <w:sz w:val="18"/>
                <w:szCs w:val="18"/>
                <w:lang w:eastAsia="es-MX"/>
              </w:rPr>
              <w:t>.</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de Responsabilidades de los Servidores Públicos para el Estado y Municipios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85"/>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XIII </w:t>
            </w:r>
            <w:r w:rsidRPr="003A3C1B">
              <w:rPr>
                <w:rFonts w:ascii="Helvetica" w:eastAsia="Times New Roman" w:hAnsi="Helvetica" w:cs="Times New Roman"/>
                <w:i/>
                <w:iCs/>
                <w:sz w:val="18"/>
                <w:szCs w:val="18"/>
                <w:lang w:eastAsia="es-MX"/>
              </w:rPr>
              <w:t>El domicilio de la Unidad de Transparencia, además de la dirección electrónica donde podrán recibirse las solicitudes para obtener la información;</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Por disposición legal se encuentran obligadas las Entidades Paraestatales.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General de Transparencia y Acceso a la Información Pública, Ley de Transparencia Y acceso a la Información Pública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Jurídico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702"/>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XIV </w:t>
            </w:r>
            <w:r w:rsidRPr="003A3C1B">
              <w:rPr>
                <w:rFonts w:ascii="Helvetica" w:eastAsia="Times New Roman" w:hAnsi="Helvetica" w:cs="Times New Roman"/>
                <w:i/>
                <w:iCs/>
                <w:sz w:val="18"/>
                <w:szCs w:val="18"/>
                <w:lang w:eastAsia="es-MX"/>
              </w:rPr>
              <w:t>Las convocatorias a concursos para ocupar cargos públicos y los resultados de los mismos;</w:t>
            </w:r>
          </w:p>
        </w:tc>
        <w:tc>
          <w:tcPr>
            <w:tcW w:w="1276" w:type="dxa"/>
            <w:shd w:val="clear" w:color="auto" w:fill="FFFFFF" w:themeFill="background1"/>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 APLICA</w:t>
            </w:r>
          </w:p>
        </w:tc>
        <w:tc>
          <w:tcPr>
            <w:tcW w:w="2768" w:type="dxa"/>
            <w:shd w:val="clear" w:color="auto" w:fill="FFFFFF" w:themeFill="background1"/>
            <w:vAlign w:val="center"/>
          </w:tcPr>
          <w:p w:rsidR="00AE0D7A" w:rsidRPr="003A3C1B" w:rsidRDefault="00AE0D7A" w:rsidP="007F354B">
            <w:pPr>
              <w:spacing w:after="0" w:line="240" w:lineRule="auto"/>
              <w:jc w:val="both"/>
              <w:rPr>
                <w:rFonts w:ascii="Helvetica" w:hAnsi="Helvetica"/>
                <w:i/>
                <w:sz w:val="18"/>
                <w:szCs w:val="18"/>
              </w:rPr>
            </w:pPr>
            <w:r w:rsidRPr="003A3C1B">
              <w:rPr>
                <w:rFonts w:ascii="Helvetica" w:eastAsia="Times New Roman" w:hAnsi="Helvetica" w:cs="Times New Roman"/>
                <w:i/>
                <w:sz w:val="18"/>
                <w:szCs w:val="18"/>
                <w:lang w:eastAsia="es-MX"/>
              </w:rPr>
              <w:t>Corresponde a la  Secretaría de Administración dic</w:t>
            </w:r>
            <w:r w:rsidRPr="003A3C1B">
              <w:rPr>
                <w:rFonts w:ascii="Helvetica" w:hAnsi="Helvetica"/>
                <w:i/>
                <w:sz w:val="18"/>
                <w:szCs w:val="18"/>
              </w:rPr>
              <w:t>tar las disposiciones que normen la contratación, remuneración y prestaciones, que deban efectuarse a los servidores públicos de las Entidades Paraestatales.</w:t>
            </w:r>
          </w:p>
        </w:tc>
        <w:tc>
          <w:tcPr>
            <w:tcW w:w="2693" w:type="dxa"/>
            <w:shd w:val="clear" w:color="auto" w:fill="FFFFFF" w:themeFill="background1"/>
            <w:vAlign w:val="center"/>
          </w:tcPr>
          <w:p w:rsidR="00AE0D7A" w:rsidRPr="003A3C1B" w:rsidRDefault="00AE0D7A" w:rsidP="006A4577">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Artículo 79 de la Ley de Pensiones para los Trabajadores del Gobierno del Estado de Oaxaca; 47 fracción III y IV de la Ley de Entidades Paraestatales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C74D62">
            <w:pPr>
              <w:spacing w:after="0" w:line="240" w:lineRule="auto"/>
              <w:jc w:val="both"/>
              <w:rPr>
                <w:rFonts w:ascii="Helvetica" w:eastAsia="Times New Roman" w:hAnsi="Helvetica" w:cs="Times New Roman"/>
                <w:sz w:val="18"/>
                <w:szCs w:val="18"/>
                <w:highlight w:val="yellow"/>
                <w:lang w:eastAsia="es-MX"/>
              </w:rPr>
            </w:pPr>
            <w:r w:rsidRPr="003A3C1B">
              <w:rPr>
                <w:rFonts w:ascii="Helvetica" w:eastAsia="Times New Roman" w:hAnsi="Helvetica" w:cs="Times New Roman"/>
                <w:sz w:val="18"/>
                <w:szCs w:val="18"/>
                <w:lang w:eastAsia="es-MX"/>
              </w:rPr>
              <w:t xml:space="preserve">Esta información podrá ser consultada en el siguiente Link </w:t>
            </w:r>
            <w:r w:rsidRPr="003A3C1B">
              <w:rPr>
                <w:rFonts w:ascii="Arial" w:hAnsi="Arial" w:cs="Arial"/>
                <w:sz w:val="14"/>
                <w:szCs w:val="27"/>
                <w:shd w:val="clear" w:color="auto" w:fill="FFFFFF"/>
              </w:rPr>
              <w:t>www.</w:t>
            </w:r>
            <w:r w:rsidRPr="003A3C1B">
              <w:rPr>
                <w:rFonts w:ascii="Arial" w:hAnsi="Arial" w:cs="Arial"/>
                <w:bCs/>
                <w:sz w:val="14"/>
                <w:szCs w:val="27"/>
                <w:shd w:val="clear" w:color="auto" w:fill="FFFFFF"/>
              </w:rPr>
              <w:t>administracion</w:t>
            </w:r>
            <w:r w:rsidRPr="003A3C1B">
              <w:rPr>
                <w:rFonts w:ascii="Arial" w:hAnsi="Arial" w:cs="Arial"/>
                <w:sz w:val="14"/>
                <w:szCs w:val="27"/>
                <w:shd w:val="clear" w:color="auto" w:fill="FFFFFF"/>
              </w:rPr>
              <w:t>.oaxaca.gob.mx</w:t>
            </w:r>
          </w:p>
        </w:tc>
        <w:tc>
          <w:tcPr>
            <w:tcW w:w="1134" w:type="dxa"/>
            <w:shd w:val="clear" w:color="auto" w:fill="FFFFFF" w:themeFill="background1"/>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548"/>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r w:rsidRPr="003A3C1B">
              <w:rPr>
                <w:rFonts w:ascii="Helvetica" w:eastAsia="Times New Roman" w:hAnsi="Helvetica" w:cs="Times New Roman"/>
                <w:b/>
                <w:bCs/>
                <w:i/>
                <w:iCs/>
                <w:sz w:val="18"/>
                <w:szCs w:val="18"/>
                <w:lang w:eastAsia="es-MX"/>
              </w:rPr>
              <w:br w:type="page"/>
            </w:r>
            <w:r w:rsidRPr="003A3C1B">
              <w:rPr>
                <w:rFonts w:ascii="Helvetica" w:eastAsia="Times New Roman" w:hAnsi="Helvetica" w:cs="Times New Roman"/>
                <w:i/>
                <w:iCs/>
                <w:sz w:val="18"/>
                <w:szCs w:val="18"/>
                <w:lang w:eastAsia="es-MX"/>
              </w:rPr>
              <w:br w:type="page"/>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Fracción XV</w:t>
            </w:r>
            <w:r w:rsidRPr="003A3C1B">
              <w:rPr>
                <w:rFonts w:ascii="Helvetica" w:eastAsia="Times New Roman" w:hAnsi="Helvetica" w:cs="Times New Roman"/>
                <w:i/>
                <w:iCs/>
                <w:sz w:val="18"/>
                <w:szCs w:val="18"/>
                <w:lang w:eastAsia="es-MX"/>
              </w:rPr>
              <w:br w:type="page"/>
              <w:t xml:space="preserve"> La información de los programas de subsidios, estímulos y apoyos, en el que se deberá informar respecto de los programas de transferencia, de servicios, de infraestructura social y de subsidio, en los que se deberá contener lo siguiente:</w:t>
            </w:r>
            <w:r w:rsidRPr="003A3C1B">
              <w:rPr>
                <w:rFonts w:ascii="Helvetica" w:eastAsia="Times New Roman" w:hAnsi="Helvetica" w:cs="Times New Roman"/>
                <w:i/>
                <w:iCs/>
                <w:sz w:val="18"/>
                <w:szCs w:val="18"/>
                <w:lang w:eastAsia="es-MX"/>
              </w:rPr>
              <w:br w:type="page"/>
            </w:r>
          </w:p>
        </w:tc>
        <w:tc>
          <w:tcPr>
            <w:tcW w:w="1276" w:type="dxa"/>
            <w:shd w:val="clear" w:color="auto" w:fill="FFFFFF" w:themeFill="background1"/>
            <w:vAlign w:val="center"/>
          </w:tcPr>
          <w:p w:rsidR="00AE0D7A" w:rsidRPr="003A3C1B" w:rsidRDefault="00AE0D7A" w:rsidP="008A42AB">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 APLICA</w:t>
            </w:r>
          </w:p>
        </w:tc>
        <w:tc>
          <w:tcPr>
            <w:tcW w:w="2768"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i/>
                <w:sz w:val="18"/>
                <w:szCs w:val="18"/>
                <w:lang w:eastAsia="es-MX"/>
              </w:rPr>
            </w:pPr>
          </w:p>
        </w:tc>
        <w:tc>
          <w:tcPr>
            <w:tcW w:w="2693" w:type="dxa"/>
            <w:shd w:val="clear" w:color="auto" w:fill="FFFFFF" w:themeFill="background1"/>
            <w:vAlign w:val="center"/>
          </w:tcPr>
          <w:p w:rsidR="00AE0D7A" w:rsidRPr="003A3C1B" w:rsidRDefault="00AE0D7A" w:rsidP="00F33A2E">
            <w:pPr>
              <w:spacing w:after="0" w:line="240" w:lineRule="auto"/>
              <w:jc w:val="both"/>
              <w:rPr>
                <w:rFonts w:ascii="Helvetica" w:eastAsia="Times New Roman" w:hAnsi="Helvetica" w:cs="Times New Roman"/>
                <w:i/>
                <w:sz w:val="18"/>
                <w:szCs w:val="18"/>
                <w:lang w:eastAsia="es-MX"/>
              </w:rPr>
            </w:pPr>
          </w:p>
        </w:tc>
        <w:tc>
          <w:tcPr>
            <w:tcW w:w="1417"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shd w:val="clear" w:color="auto" w:fill="FFFFFF" w:themeFill="background1"/>
          </w:tcPr>
          <w:p w:rsidR="00AE0D7A" w:rsidRPr="003A3C1B" w:rsidRDefault="00AE0D7A" w:rsidP="001C2461">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 en términos de lo establecido en los artículos 11 de la Ley Estatal de Presupuesto y Responsabilidad Hacendaria</w:t>
            </w:r>
          </w:p>
        </w:tc>
        <w:tc>
          <w:tcPr>
            <w:tcW w:w="1134" w:type="dxa"/>
            <w:shd w:val="clear" w:color="auto" w:fill="FFFFFF" w:themeFill="background1"/>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840"/>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XVI </w:t>
            </w:r>
            <w:r w:rsidRPr="003A3C1B">
              <w:rPr>
                <w:rFonts w:ascii="Helvetica" w:eastAsia="Times New Roman" w:hAnsi="Helvetica"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Por disposición legal, la Oficina de Pensiones se encuentra Obligada.</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Normatividad en Materia de Recursos Humanos para las Dependencias y Entidades Paraestatales de la Administración Pública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398"/>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r w:rsidRPr="003A3C1B">
              <w:rPr>
                <w:rFonts w:ascii="Helvetica" w:eastAsia="Times New Roman" w:hAnsi="Helvetica" w:cs="Times New Roman"/>
                <w:b/>
                <w:bCs/>
                <w:i/>
                <w:iCs/>
                <w:sz w:val="18"/>
                <w:szCs w:val="18"/>
                <w:lang w:eastAsia="es-MX"/>
              </w:rPr>
              <w:br w:type="page"/>
            </w:r>
            <w:r w:rsidRPr="003A3C1B">
              <w:rPr>
                <w:rFonts w:ascii="Helvetica" w:eastAsia="Times New Roman" w:hAnsi="Helvetica" w:cs="Times New Roman"/>
                <w:i/>
                <w:iCs/>
                <w:sz w:val="18"/>
                <w:szCs w:val="18"/>
                <w:lang w:eastAsia="es-MX"/>
              </w:rPr>
              <w:br w:type="page"/>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Fracción XVII</w:t>
            </w:r>
            <w:r w:rsidRPr="003A3C1B">
              <w:rPr>
                <w:rFonts w:ascii="Helvetica" w:eastAsia="Times New Roman" w:hAnsi="Helvetica" w:cs="Times New Roman"/>
                <w:i/>
                <w:iCs/>
                <w:sz w:val="18"/>
                <w:szCs w:val="18"/>
                <w:lang w:eastAsia="es-MX"/>
              </w:rPr>
              <w:br w:type="page"/>
            </w:r>
            <w:r w:rsidRPr="003A3C1B">
              <w:rPr>
                <w:rFonts w:ascii="Helvetica" w:eastAsia="Times New Roman" w:hAnsi="Helvetica"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Por disposición legal la Oficina de Pensiones se encuentra Obligada.</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General de Transparencia y Acceso a la Información Pública, Ley de Transparencia Y acceso a la Información Pública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79"/>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XVIII </w:t>
            </w:r>
            <w:r w:rsidRPr="003A3C1B">
              <w:rPr>
                <w:rFonts w:ascii="Helvetica" w:eastAsia="Times New Roman" w:hAnsi="Helvetica" w:cs="Times New Roman"/>
                <w:i/>
                <w:iCs/>
                <w:sz w:val="18"/>
                <w:szCs w:val="18"/>
                <w:lang w:eastAsia="es-MX"/>
              </w:rPr>
              <w:t>El listado de Servidores Públicos con sanciones administrativas definitivas, especificando la causa de sanción y la disposición;</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Obligación plasmada en la Ley a las Entidades Paraestatales, sin excepción o exclusión.</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de Responsabilidades de los Servidores Públicos del Estado y Municipios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Hasta éste momento no existe registro de sanción alguna determinada por la Secretaría de la Contraloría y Trasparencia Gubernamental  servidores Públicos de la Oficina de Pensiones.</w:t>
            </w: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822"/>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XIX </w:t>
            </w:r>
            <w:r w:rsidRPr="003A3C1B">
              <w:rPr>
                <w:rFonts w:ascii="Helvetica" w:eastAsia="Times New Roman" w:hAnsi="Helvetica" w:cs="Times New Roman"/>
                <w:i/>
                <w:iCs/>
                <w:sz w:val="18"/>
                <w:szCs w:val="18"/>
                <w:lang w:eastAsia="es-MX"/>
              </w:rPr>
              <w:t>Los servicios que ofrecen señalando los requisitos para acceder a ellos;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Obligación impuesta que genera mayor efectividad en la prestación del servicio público para lo que fue creada la Oficina de Pensiones.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Ley de Pensiones para los Trabajadores del Gobierno del Estado de Oaxaca, Reglamento de Operación de la Oficina de Pensiones y Reglamento Interno de la Oficina de </w:t>
            </w:r>
            <w:r w:rsidRPr="003A3C1B">
              <w:rPr>
                <w:rFonts w:ascii="Helvetica" w:eastAsia="Times New Roman" w:hAnsi="Helvetica" w:cs="Times New Roman"/>
                <w:sz w:val="18"/>
                <w:szCs w:val="18"/>
                <w:lang w:eastAsia="es-MX"/>
              </w:rPr>
              <w:lastRenderedPageBreak/>
              <w:t>Pensiones.</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lastRenderedPageBreak/>
              <w:t>Todas las áreas de la Oficina de Pensiones.</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670"/>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 </w:t>
            </w:r>
            <w:r w:rsidRPr="003A3C1B">
              <w:rPr>
                <w:rFonts w:ascii="Helvetica" w:eastAsia="Times New Roman" w:hAnsi="Helvetica" w:cs="Times New Roman"/>
                <w:i/>
                <w:iCs/>
                <w:sz w:val="18"/>
                <w:szCs w:val="18"/>
                <w:lang w:eastAsia="es-MX"/>
              </w:rPr>
              <w:t>Los trámites, requisitos y formatos que ofrecen;</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Obligación impuesta que genera mayor efectividad en la prestación del servicio público para lo que fue creada la Oficina de Pensiones.</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de Pensiones para los Trabajadores del Gobierno del Estado de Oaxaca, Reglamento de Operación de la Oficina de Pensiones y Reglamento Interno de la Oficina de Pensiones.</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Todas las áreas de la Oficina de Pensiones.</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545"/>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XXI </w:t>
            </w:r>
            <w:r w:rsidRPr="003A3C1B">
              <w:rPr>
                <w:rFonts w:ascii="Helvetica" w:eastAsia="Times New Roman" w:hAnsi="Helvetica"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Por disposición legal.</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Ley General de Contabilidad Gubernamental, Ley estatal de Presupuesto y Responsabilidad Hacendaria. </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27"/>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XXII </w:t>
            </w:r>
            <w:r w:rsidRPr="003A3C1B">
              <w:rPr>
                <w:rFonts w:ascii="Helvetica" w:eastAsia="Times New Roman" w:hAnsi="Helvetica" w:cs="Times New Roman"/>
                <w:i/>
                <w:iCs/>
                <w:sz w:val="18"/>
                <w:szCs w:val="18"/>
                <w:lang w:eastAsia="es-MX"/>
              </w:rPr>
              <w:t>La información relativa a la deuda pública, en términos de la normatividad aplicable;</w:t>
            </w:r>
          </w:p>
        </w:tc>
        <w:tc>
          <w:tcPr>
            <w:tcW w:w="1276" w:type="dxa"/>
            <w:shd w:val="clear" w:color="auto" w:fill="FFFFFF" w:themeFill="background1"/>
            <w:noWrap/>
            <w:vAlign w:val="center"/>
          </w:tcPr>
          <w:p w:rsidR="00AE0D7A" w:rsidRPr="003A3C1B" w:rsidRDefault="00AE0D7A" w:rsidP="00A76B59">
            <w:pPr>
              <w:spacing w:after="0" w:line="240" w:lineRule="auto"/>
              <w:jc w:val="center"/>
              <w:rPr>
                <w:rFonts w:ascii="Helvetica" w:hAnsi="Helvetica"/>
                <w:sz w:val="18"/>
                <w:szCs w:val="18"/>
              </w:rPr>
            </w:pPr>
            <w:r w:rsidRPr="003A3C1B">
              <w:rPr>
                <w:rFonts w:ascii="Helvetica" w:hAnsi="Helvetica"/>
                <w:sz w:val="18"/>
                <w:szCs w:val="18"/>
              </w:rPr>
              <w:t>NO APLICA</w:t>
            </w:r>
          </w:p>
        </w:tc>
        <w:tc>
          <w:tcPr>
            <w:tcW w:w="2768" w:type="dxa"/>
            <w:shd w:val="clear" w:color="auto" w:fill="FFFFFF" w:themeFill="background1"/>
            <w:noWrap/>
            <w:vAlign w:val="center"/>
          </w:tcPr>
          <w:p w:rsidR="00AE0D7A" w:rsidRPr="003A3C1B" w:rsidRDefault="00AE0D7A" w:rsidP="007F354B">
            <w:pPr>
              <w:spacing w:after="0" w:line="240" w:lineRule="auto"/>
              <w:jc w:val="both"/>
              <w:rPr>
                <w:rFonts w:ascii="Helvetica" w:eastAsia="Times New Roman" w:hAnsi="Helvetica" w:cs="Times New Roman"/>
                <w:i/>
                <w:sz w:val="18"/>
                <w:szCs w:val="18"/>
                <w:lang w:eastAsia="es-MX"/>
              </w:rPr>
            </w:pPr>
            <w:r w:rsidRPr="003A3C1B">
              <w:rPr>
                <w:rFonts w:ascii="Helvetica" w:eastAsia="Times New Roman" w:hAnsi="Helvetica" w:cs="Times New Roman"/>
                <w:i/>
                <w:sz w:val="18"/>
                <w:szCs w:val="18"/>
                <w:lang w:eastAsia="es-MX"/>
              </w:rPr>
              <w:t>La Oficina de Pensiones no cuenta con las facultades y atribuciones para generar la información especificada en esta fracción; lo anterior, toda vez que corresponde a la Secretaría de Finanzas la administración de la Deuda Pública del Estado de Oaxaca así como negociar, aprobar, celebrar y suscribir los contratos y documentos para la contratación de deuda pública a cargo del Estado.</w:t>
            </w:r>
          </w:p>
          <w:p w:rsidR="00AE0D7A" w:rsidRPr="003A3C1B" w:rsidRDefault="00AE0D7A" w:rsidP="007F354B">
            <w:pPr>
              <w:spacing w:after="0" w:line="240" w:lineRule="auto"/>
              <w:jc w:val="both"/>
              <w:rPr>
                <w:rFonts w:ascii="Helvetica" w:eastAsia="Times New Roman" w:hAnsi="Helvetica" w:cs="Times New Roman"/>
                <w:i/>
                <w:sz w:val="18"/>
                <w:szCs w:val="18"/>
                <w:lang w:eastAsia="es-MX"/>
              </w:rPr>
            </w:pPr>
          </w:p>
        </w:tc>
        <w:tc>
          <w:tcPr>
            <w:tcW w:w="2693" w:type="dxa"/>
            <w:shd w:val="clear" w:color="auto" w:fill="FFFFFF" w:themeFill="background1"/>
            <w:vAlign w:val="center"/>
          </w:tcPr>
          <w:p w:rsidR="00AE0D7A" w:rsidRPr="003A3C1B" w:rsidRDefault="00AE0D7A" w:rsidP="00E24DC3">
            <w:pPr>
              <w:spacing w:after="0" w:line="240" w:lineRule="auto"/>
              <w:jc w:val="both"/>
              <w:rPr>
                <w:rFonts w:ascii="Helvetica" w:eastAsia="Times New Roman" w:hAnsi="Helvetica" w:cs="Times New Roman"/>
                <w:i/>
                <w:sz w:val="18"/>
                <w:szCs w:val="18"/>
                <w:lang w:eastAsia="es-MX"/>
              </w:rPr>
            </w:pPr>
            <w:r w:rsidRPr="003A3C1B">
              <w:rPr>
                <w:rFonts w:ascii="Helvetica" w:eastAsia="Times New Roman" w:hAnsi="Helvetica" w:cs="Times New Roman"/>
                <w:i/>
                <w:sz w:val="18"/>
                <w:szCs w:val="18"/>
                <w:lang w:val="es-ES" w:eastAsia="es-MX"/>
              </w:rPr>
              <w:t>Artículos, 2° fracción XXIV, 10, 11 fracciones IV, VI  Ley de Deuda Pública.</w:t>
            </w:r>
          </w:p>
        </w:tc>
        <w:tc>
          <w:tcPr>
            <w:tcW w:w="1417"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FFFFFF" w:themeFill="background1"/>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shd w:val="clear" w:color="auto" w:fill="FFFFFF" w:themeFill="background1"/>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23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XXIII </w:t>
            </w:r>
            <w:r w:rsidRPr="003A3C1B">
              <w:rPr>
                <w:rFonts w:ascii="Helvetica" w:eastAsia="Times New Roman" w:hAnsi="Helvetica" w:cs="Times New Roman"/>
                <w:i/>
                <w:iCs/>
                <w:sz w:val="18"/>
                <w:szCs w:val="18"/>
                <w:lang w:eastAsia="es-MX"/>
              </w:rPr>
              <w:t>Los montos destinados a gastos relativos a comunicación social y publicidad oficial desglosada por tipo de medio, proveedores, número de contrato y concepto o campaña;</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u w:val="single"/>
                <w:lang w:eastAsia="es-MX"/>
              </w:rPr>
            </w:pPr>
            <w:r w:rsidRPr="003A3C1B">
              <w:rPr>
                <w:rFonts w:ascii="Helvetica" w:eastAsia="Times New Roman" w:hAnsi="Helvetica" w:cs="Times New Roman"/>
                <w:sz w:val="18"/>
                <w:szCs w:val="18"/>
                <w:u w:val="single"/>
                <w:lang w:eastAsia="es-MX"/>
              </w:rPr>
              <w:t>APLICA</w:t>
            </w:r>
          </w:p>
        </w:tc>
        <w:tc>
          <w:tcPr>
            <w:tcW w:w="2768" w:type="dxa"/>
            <w:shd w:val="clear" w:color="auto" w:fill="auto"/>
            <w:vAlign w:val="center"/>
          </w:tcPr>
          <w:p w:rsidR="00AE0D7A" w:rsidRPr="003A3C1B" w:rsidRDefault="00AE0D7A" w:rsidP="00097722">
            <w:pPr>
              <w:spacing w:after="0" w:line="240" w:lineRule="auto"/>
              <w:jc w:val="both"/>
              <w:rPr>
                <w:rFonts w:ascii="Helvetica" w:eastAsia="Times New Roman" w:hAnsi="Helvetica" w:cs="Times New Roman"/>
                <w:i/>
                <w:sz w:val="18"/>
                <w:szCs w:val="18"/>
                <w:lang w:eastAsia="es-MX"/>
              </w:rPr>
            </w:pPr>
          </w:p>
        </w:tc>
        <w:tc>
          <w:tcPr>
            <w:tcW w:w="2693" w:type="dxa"/>
            <w:shd w:val="clear" w:color="auto" w:fill="auto"/>
            <w:vAlign w:val="center"/>
          </w:tcPr>
          <w:p w:rsidR="00AE0D7A" w:rsidRPr="003A3C1B" w:rsidRDefault="00AE0D7A" w:rsidP="003B1354">
            <w:pPr>
              <w:spacing w:after="0" w:line="240" w:lineRule="auto"/>
              <w:jc w:val="both"/>
              <w:rPr>
                <w:rFonts w:ascii="Helvetica" w:eastAsia="Times New Roman" w:hAnsi="Helvetica" w:cs="Times New Roman"/>
                <w:i/>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Es aplicable en términos a lo establecido en los Lineamientos Técnicos Generales para la publicación Homologaci</w:t>
            </w:r>
            <w:r w:rsidRPr="003A3C1B">
              <w:rPr>
                <w:rFonts w:ascii="Helvetica" w:eastAsia="Times New Roman" w:hAnsi="Helvetica" w:cs="Times New Roman"/>
                <w:sz w:val="18"/>
                <w:szCs w:val="18"/>
                <w:lang w:eastAsia="es-MX"/>
              </w:rPr>
              <w:lastRenderedPageBreak/>
              <w:t>ón y estandarización de la información.</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lastRenderedPageBreak/>
              <w:t>VALIDADA</w:t>
            </w:r>
          </w:p>
        </w:tc>
      </w:tr>
      <w:tr w:rsidR="003A3C1B" w:rsidRPr="003A3C1B" w:rsidTr="001A1A48">
        <w:trPr>
          <w:trHeight w:val="123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XXIV </w:t>
            </w:r>
            <w:r w:rsidRPr="003A3C1B">
              <w:rPr>
                <w:rFonts w:ascii="Helvetica" w:eastAsia="Times New Roman" w:hAnsi="Helvetica" w:cs="Times New Roman"/>
                <w:i/>
                <w:iCs/>
                <w:sz w:val="18"/>
                <w:szCs w:val="18"/>
                <w:lang w:eastAsia="es-MX"/>
              </w:rPr>
              <w:t>Los informes de resultados de las auditorías al ejercicio presupuestal de cada sujeto obligado que se realicen y, en su caso, las aclaraciones que correspondan;</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Las auditorias se llevan a cabo por disposición legal y ahora se publicaran por disposición legal.</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de Responsabilidades de los Servidores Públicos del Estado y Municipios de Oaxaca, Ley de Pensiones para los Trabajadores del Gobierno del Estado</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719"/>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XXV </w:t>
            </w:r>
            <w:r w:rsidRPr="003A3C1B">
              <w:rPr>
                <w:rFonts w:ascii="Helvetica" w:eastAsia="Times New Roman" w:hAnsi="Helvetica" w:cs="Times New Roman"/>
                <w:i/>
                <w:iCs/>
                <w:sz w:val="18"/>
                <w:szCs w:val="18"/>
                <w:lang w:eastAsia="es-MX"/>
              </w:rPr>
              <w:t>El resultado de la dictaminación de los estados financieros;</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617DC3">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Derivado de la obligación impuesta en el artículo 11 de la Ley de Pensiones para los Trabajadores del Gobierno del Estado, anualmente se contrata un despacho contable que haya sido autorizado por la Secretaría de Contraloría y Transparencia Gubernamental, a través del procedimiento establecido por la Secretaría de administración mediante el comité de bienes y servicios.</w:t>
            </w:r>
          </w:p>
        </w:tc>
        <w:tc>
          <w:tcPr>
            <w:tcW w:w="2693" w:type="dxa"/>
            <w:shd w:val="clear" w:color="auto" w:fill="auto"/>
            <w:vAlign w:val="center"/>
          </w:tcPr>
          <w:p w:rsidR="00AE0D7A" w:rsidRPr="003A3C1B" w:rsidRDefault="00AE0D7A" w:rsidP="00DB28AF">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Artículo 11 de la ley de Pensiones para los Trabajadores del Gobierno del Estado y 47 </w:t>
            </w:r>
            <w:proofErr w:type="gramStart"/>
            <w:r w:rsidRPr="003A3C1B">
              <w:rPr>
                <w:rFonts w:ascii="Helvetica" w:eastAsia="Times New Roman" w:hAnsi="Helvetica" w:cs="Times New Roman"/>
                <w:sz w:val="18"/>
                <w:szCs w:val="18"/>
                <w:lang w:eastAsia="es-MX"/>
              </w:rPr>
              <w:t>fracción</w:t>
            </w:r>
            <w:proofErr w:type="gramEnd"/>
            <w:r w:rsidRPr="003A3C1B">
              <w:rPr>
                <w:rFonts w:ascii="Helvetica" w:eastAsia="Times New Roman" w:hAnsi="Helvetica" w:cs="Times New Roman"/>
                <w:sz w:val="18"/>
                <w:szCs w:val="18"/>
                <w:lang w:eastAsia="es-MX"/>
              </w:rPr>
              <w:t xml:space="preserve"> XVII de la Ley Orgánica del Poder Ejecutivo.</w:t>
            </w:r>
          </w:p>
        </w:tc>
        <w:tc>
          <w:tcPr>
            <w:tcW w:w="1417" w:type="dxa"/>
            <w:shd w:val="clear" w:color="auto" w:fill="auto"/>
            <w:vAlign w:val="center"/>
          </w:tcPr>
          <w:p w:rsidR="00AE0D7A" w:rsidRPr="003A3C1B" w:rsidRDefault="00AE0D7A" w:rsidP="00887A20">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01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XXVI </w:t>
            </w:r>
            <w:r w:rsidRPr="003A3C1B">
              <w:rPr>
                <w:rFonts w:ascii="Helvetica" w:eastAsia="Times New Roman" w:hAnsi="Helvetica"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NO APLICA</w:t>
            </w:r>
          </w:p>
        </w:tc>
        <w:tc>
          <w:tcPr>
            <w:tcW w:w="2768" w:type="dxa"/>
            <w:shd w:val="clear" w:color="auto" w:fill="auto"/>
            <w:vAlign w:val="center"/>
          </w:tcPr>
          <w:p w:rsidR="00AE0D7A" w:rsidRPr="003A3C1B" w:rsidRDefault="00AE0D7A" w:rsidP="00291321">
            <w:pPr>
              <w:spacing w:after="0" w:line="240" w:lineRule="auto"/>
              <w:jc w:val="both"/>
              <w:rPr>
                <w:rFonts w:ascii="Helvetica" w:eastAsia="Times New Roman" w:hAnsi="Helvetica" w:cs="Times New Roman"/>
                <w:i/>
                <w:sz w:val="18"/>
                <w:szCs w:val="18"/>
                <w:lang w:eastAsia="es-MX"/>
              </w:rPr>
            </w:pPr>
            <w:r w:rsidRPr="003A3C1B">
              <w:rPr>
                <w:rFonts w:ascii="Helvetica" w:eastAsia="Times New Roman" w:hAnsi="Helvetica" w:cs="Times New Roman"/>
                <w:i/>
                <w:sz w:val="18"/>
                <w:szCs w:val="18"/>
                <w:lang w:eastAsia="es-MX"/>
              </w:rPr>
              <w:t>La Oficina de Pensiones no cuenta con las facultades y atribuciones para destinar montos o emitir criterios para asignar o permitir el uso de recursos públicos a personas o que realicen actos de autoridad.</w:t>
            </w:r>
          </w:p>
        </w:tc>
        <w:tc>
          <w:tcPr>
            <w:tcW w:w="2693" w:type="dxa"/>
            <w:shd w:val="clear" w:color="auto" w:fill="auto"/>
            <w:vAlign w:val="center"/>
          </w:tcPr>
          <w:p w:rsidR="00AE0D7A" w:rsidRPr="003A3C1B" w:rsidRDefault="00AE0D7A" w:rsidP="00AE092C">
            <w:pPr>
              <w:spacing w:after="0" w:line="240" w:lineRule="auto"/>
              <w:jc w:val="both"/>
              <w:rPr>
                <w:rFonts w:ascii="Helvetica" w:eastAsia="Times New Roman" w:hAnsi="Helvetica" w:cs="Times New Roman"/>
                <w:i/>
                <w:sz w:val="18"/>
                <w:szCs w:val="18"/>
                <w:lang w:eastAsia="es-MX"/>
              </w:rPr>
            </w:pPr>
            <w:r w:rsidRPr="003A3C1B">
              <w:rPr>
                <w:rFonts w:ascii="Helvetica" w:hAnsi="Helvetica"/>
                <w:sz w:val="18"/>
                <w:szCs w:val="18"/>
              </w:rPr>
              <w:t>Artículo 3° fracción II de la Ley Orgánica del Poder Ejecutivo del Estado de Oaxaca; 1°, 2° fracción VII, 4°, 13, 14 de la Ley de Entidades Paraestatales del Estado de Oaxaca y 79  de la l</w:t>
            </w:r>
            <w:r w:rsidRPr="003A3C1B">
              <w:rPr>
                <w:rFonts w:ascii="Helvetica" w:eastAsia="Times New Roman" w:hAnsi="Helvetica" w:cs="Times New Roman"/>
                <w:i/>
                <w:sz w:val="18"/>
                <w:szCs w:val="18"/>
                <w:lang w:eastAsia="es-MX"/>
              </w:rPr>
              <w:t xml:space="preserve">ey de Pensiones para los Trabajadores del Gobierno del Estado </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854"/>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XXVII </w:t>
            </w:r>
            <w:r w:rsidRPr="003A3C1B">
              <w:rPr>
                <w:rFonts w:ascii="Helvetica" w:eastAsia="Times New Roman" w:hAnsi="Helvetica"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E52893">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La Oficina de Pensiones únicamente genera </w:t>
            </w:r>
            <w:r w:rsidRPr="003A3C1B">
              <w:rPr>
                <w:rFonts w:ascii="Helvetica" w:eastAsia="Times New Roman" w:hAnsi="Helvetica" w:cs="Times New Roman"/>
                <w:iCs/>
                <w:sz w:val="18"/>
                <w:szCs w:val="18"/>
                <w:lang w:eastAsia="es-MX"/>
              </w:rPr>
              <w:t>convenios, para el cumplimiento de los servicios que presta conforme a la Ley de Pensiones para los Trabajadores del Gobierno del Estado de Oaxaca.</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Artículo 13 y 14 de la Ley de Entidades Paraestatales, 88 y 89 de la Ley de Pensiones para los Trabajadores del Gobierno del Estado de Oaxaca.</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820"/>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XXVIII </w:t>
            </w:r>
            <w:r w:rsidRPr="003A3C1B">
              <w:rPr>
                <w:rFonts w:ascii="Helvetica" w:eastAsia="Times New Roman" w:hAnsi="Helvetica"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La Oficina de Pensiones del Estado de Oaxaca se encuentra obligada, toda vez que como ejecutora de gasto adquiere servicios y se encuentra sujeta para ese efecto a los montos y procedimientos establecidos en el decreto de presupuesto que se encuentra autorizado para el año respectivo.</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highlight w:val="yellow"/>
                <w:lang w:eastAsia="es-MX"/>
              </w:rPr>
            </w:pPr>
            <w:r w:rsidRPr="003A3C1B">
              <w:rPr>
                <w:rFonts w:ascii="Helvetica" w:eastAsia="Times New Roman" w:hAnsi="Helvetica" w:cs="Times New Roman"/>
                <w:sz w:val="18"/>
                <w:szCs w:val="18"/>
                <w:lang w:eastAsia="es-MX"/>
              </w:rPr>
              <w:t>Decreto de Presupuesto de Egresos del Estado de Oaxaca para el Ejercicio 2016, Ley para de Adquisiciones y arrendamientos y servicios del Estado de Oaxaca, Ley de Presupuesto y Responsabilidad Hacendaria, artículo 63  de la Ley de Contabilidad Gubernamental.</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highlight w:val="yellow"/>
                <w:lang w:eastAsia="es-MX"/>
              </w:rPr>
            </w:pPr>
            <w:r w:rsidRPr="003A3C1B">
              <w:rPr>
                <w:rFonts w:ascii="Helvetica" w:eastAsia="Times New Roman" w:hAnsi="Helvetica" w:cs="Times New Roman"/>
                <w:sz w:val="18"/>
                <w:szCs w:val="18"/>
                <w:lang w:eastAsia="es-MX"/>
              </w:rPr>
              <w:t>Departamento Administrativo</w:t>
            </w: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highlight w:val="yellow"/>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691"/>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XXIX </w:t>
            </w:r>
            <w:r w:rsidRPr="003A3C1B">
              <w:rPr>
                <w:rFonts w:ascii="Helvetica" w:eastAsia="Times New Roman" w:hAnsi="Helvetica" w:cs="Times New Roman"/>
                <w:i/>
                <w:iCs/>
                <w:sz w:val="18"/>
                <w:szCs w:val="18"/>
                <w:lang w:eastAsia="es-MX"/>
              </w:rPr>
              <w:t xml:space="preserve">Los informes que por disposición legal generen los sujetos obligados; </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Obligaciones impuestas para la presentación de información financiera y presupuestal.</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General de Contabilidad Gubernamental, Ley del Presupuesto y Responsabilidad Hacendaria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91"/>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 </w:t>
            </w:r>
            <w:r w:rsidRPr="003A3C1B">
              <w:rPr>
                <w:rFonts w:ascii="Helvetica" w:eastAsia="Times New Roman" w:hAnsi="Helvetica" w:cs="Times New Roman"/>
                <w:i/>
                <w:iCs/>
                <w:sz w:val="18"/>
                <w:szCs w:val="18"/>
                <w:lang w:eastAsia="es-MX"/>
              </w:rPr>
              <w:t>Las estadísticas que generen en cumplimiento de sus facultades, competencias o funciones con la mayor desagregación posible;</w:t>
            </w:r>
          </w:p>
        </w:tc>
        <w:tc>
          <w:tcPr>
            <w:tcW w:w="1276" w:type="dxa"/>
            <w:shd w:val="clear" w:color="auto" w:fill="auto"/>
            <w:noWrap/>
            <w:vAlign w:val="center"/>
          </w:tcPr>
          <w:p w:rsidR="00AE0D7A" w:rsidRPr="003A3C1B" w:rsidRDefault="00AE0D7A" w:rsidP="00F94EDF">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 APLICA</w:t>
            </w:r>
          </w:p>
        </w:tc>
        <w:tc>
          <w:tcPr>
            <w:tcW w:w="2768" w:type="dxa"/>
            <w:shd w:val="clear" w:color="auto" w:fill="auto"/>
            <w:vAlign w:val="center"/>
          </w:tcPr>
          <w:p w:rsidR="00AE0D7A" w:rsidRPr="003A3C1B" w:rsidRDefault="00AE0D7A" w:rsidP="002F35DE">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Es aplicable en términos de los Lineamientos Técnicos Generales para la publicación, homologación y estandarización de la Información</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694"/>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XXXI </w:t>
            </w:r>
            <w:r w:rsidRPr="003A3C1B">
              <w:rPr>
                <w:rFonts w:ascii="Helvetica" w:eastAsia="Times New Roman" w:hAnsi="Helvetica" w:cs="Times New Roman"/>
                <w:i/>
                <w:iCs/>
                <w:sz w:val="18"/>
                <w:szCs w:val="18"/>
                <w:lang w:eastAsia="es-MX"/>
              </w:rPr>
              <w:t>Informe de avances programáticos o presupuestales, balances generales y su estado financiero;</w:t>
            </w:r>
          </w:p>
        </w:tc>
        <w:tc>
          <w:tcPr>
            <w:tcW w:w="1276" w:type="dxa"/>
            <w:shd w:val="clear" w:color="auto" w:fill="auto"/>
            <w:noWrap/>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Obligación derivada del ejercicio del presupuesto autorizado por el ejecutivo.</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de Contabilidad Gubernamental, Ley Estatal de Presupuesto y Responsabilidad Hacendaria.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558"/>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XXXII </w:t>
            </w:r>
            <w:r w:rsidRPr="003A3C1B">
              <w:rPr>
                <w:rFonts w:ascii="Helvetica" w:eastAsia="Times New Roman" w:hAnsi="Helvetica" w:cs="Times New Roman"/>
                <w:i/>
                <w:iCs/>
                <w:sz w:val="18"/>
                <w:szCs w:val="18"/>
                <w:lang w:eastAsia="es-MX"/>
              </w:rPr>
              <w:t>Padrón de proveedores y contratistas;</w:t>
            </w:r>
          </w:p>
        </w:tc>
        <w:tc>
          <w:tcPr>
            <w:tcW w:w="1276" w:type="dxa"/>
            <w:shd w:val="clear" w:color="auto" w:fill="auto"/>
            <w:noWrap/>
            <w:vAlign w:val="center"/>
          </w:tcPr>
          <w:p w:rsidR="00AE0D7A" w:rsidRPr="003A3C1B" w:rsidRDefault="00AE0D7A" w:rsidP="0054402E">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BD56BB">
            <w:pPr>
              <w:jc w:val="both"/>
              <w:rPr>
                <w:rFonts w:ascii="Helvetica" w:hAnsi="Helvetica"/>
                <w:i/>
                <w:sz w:val="18"/>
                <w:szCs w:val="18"/>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trike/>
                <w:sz w:val="18"/>
                <w:szCs w:val="18"/>
                <w:lang w:eastAsia="es-MX"/>
              </w:rPr>
            </w:pPr>
            <w:r w:rsidRPr="003A3C1B">
              <w:rPr>
                <w:rFonts w:eastAsia="Times New Roman" w:cs="Times New Roman"/>
                <w:sz w:val="18"/>
                <w:szCs w:val="18"/>
                <w:lang w:eastAsia="es-MX"/>
              </w:rPr>
              <w:t>Es aplicable en términos de los Lineamientos Técnicos Generales para la publicación, homologación y estandarización de la Información.</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712"/>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XXXIII </w:t>
            </w:r>
            <w:r w:rsidRPr="003A3C1B">
              <w:rPr>
                <w:rFonts w:ascii="Helvetica" w:eastAsia="Times New Roman" w:hAnsi="Helvetica" w:cs="Times New Roman"/>
                <w:i/>
                <w:iCs/>
                <w:sz w:val="18"/>
                <w:szCs w:val="18"/>
                <w:lang w:eastAsia="es-MX"/>
              </w:rPr>
              <w:t>Los convenios de coordinación de concertación con los sectores social y privado;</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p w:rsidR="00AE0D7A" w:rsidRPr="003A3C1B" w:rsidRDefault="00AE0D7A" w:rsidP="00A76B59">
            <w:pPr>
              <w:spacing w:after="0" w:line="240" w:lineRule="auto"/>
              <w:jc w:val="center"/>
              <w:rPr>
                <w:rFonts w:ascii="Helvetica" w:eastAsia="Times New Roman" w:hAnsi="Helvetica" w:cs="Times New Roman"/>
                <w:sz w:val="18"/>
                <w:szCs w:val="18"/>
                <w:lang w:eastAsia="es-MX"/>
              </w:rPr>
            </w:pP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Para la efectividad del cumplimiento del objeto para lo que la Oficina de Pensiones fue creada, el Consejo Directivo de Pensiones como máximo órgano de gobierno, ha facultado al titular de la Entidad para celebrar convenios con el sector privado para mayor efectividad de la seguridad social y calidad de vida de los Jubilados, Pensionados y Pensionistas. </w:t>
            </w:r>
          </w:p>
        </w:tc>
        <w:tc>
          <w:tcPr>
            <w:tcW w:w="2693" w:type="dxa"/>
            <w:shd w:val="clear" w:color="auto" w:fill="auto"/>
            <w:vAlign w:val="center"/>
          </w:tcPr>
          <w:p w:rsidR="00AE0D7A" w:rsidRPr="003A3C1B" w:rsidRDefault="00AE0D7A" w:rsidP="009F47D8">
            <w:pPr>
              <w:spacing w:after="0" w:line="240" w:lineRule="auto"/>
              <w:jc w:val="both"/>
              <w:rPr>
                <w:rFonts w:ascii="Helvetica" w:eastAsia="Times New Roman" w:hAnsi="Helvetica" w:cs="Times New Roman"/>
                <w:sz w:val="18"/>
                <w:szCs w:val="18"/>
                <w:lang w:eastAsia="es-MX"/>
              </w:rPr>
            </w:pPr>
            <w:r w:rsidRPr="003A3C1B">
              <w:rPr>
                <w:rFonts w:ascii="Helvetica" w:hAnsi="Helvetica"/>
                <w:sz w:val="18"/>
                <w:szCs w:val="18"/>
              </w:rPr>
              <w:t>Artículo 3° fracción II de la Ley Orgánica del Poder Ejecutivo del Estado de Oaxaca; 1°, 2° fracción VII, 4°, 13, 14 de la Ley de Entidades Paraestatales del Estado de Oaxaca, 88 y 89 de la Ley de Pensiones para los Trabajadores del Gobierno del Estado de Oaxaca.</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A04092">
            <w:pPr>
              <w:spacing w:after="0" w:line="240" w:lineRule="auto"/>
              <w:jc w:val="both"/>
              <w:rPr>
                <w:rFonts w:ascii="Helvetica" w:eastAsia="Times New Roman" w:hAnsi="Helvetica" w:cs="Times New Roman"/>
                <w:sz w:val="18"/>
                <w:szCs w:val="18"/>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794"/>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XXXIV </w:t>
            </w:r>
            <w:r w:rsidRPr="003A3C1B">
              <w:rPr>
                <w:rFonts w:ascii="Helvetica" w:eastAsia="Times New Roman" w:hAnsi="Helvetica" w:cs="Times New Roman"/>
                <w:i/>
                <w:iCs/>
                <w:sz w:val="18"/>
                <w:szCs w:val="18"/>
                <w:lang w:eastAsia="es-MX"/>
              </w:rPr>
              <w:t>El inventario de bienes muebles e inmuebles en posesión y propiedad;</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Obligación de llevar a cabo un inventario físico de bienes muebles e inmuebles, así como también realizar una conciliación patrimonial.</w:t>
            </w:r>
          </w:p>
        </w:tc>
        <w:tc>
          <w:tcPr>
            <w:tcW w:w="2693" w:type="dxa"/>
            <w:shd w:val="clear" w:color="auto" w:fill="auto"/>
            <w:vAlign w:val="center"/>
          </w:tcPr>
          <w:p w:rsidR="00AE0D7A" w:rsidRPr="003A3C1B" w:rsidRDefault="00AE0D7A" w:rsidP="007F354B">
            <w:pPr>
              <w:pStyle w:val="Default"/>
              <w:jc w:val="both"/>
              <w:rPr>
                <w:rFonts w:ascii="Helvetica" w:hAnsi="Helvetica"/>
                <w:color w:val="auto"/>
                <w:sz w:val="18"/>
                <w:szCs w:val="18"/>
              </w:rPr>
            </w:pPr>
            <w:r w:rsidRPr="003A3C1B">
              <w:rPr>
                <w:rFonts w:ascii="Helvetica" w:eastAsia="Times New Roman" w:hAnsi="Helvetica" w:cs="Times New Roman"/>
                <w:color w:val="auto"/>
                <w:sz w:val="18"/>
                <w:szCs w:val="18"/>
                <w:lang w:eastAsia="es-MX"/>
              </w:rPr>
              <w:t xml:space="preserve">Ley General de Contabilidad Gubernamental,  </w:t>
            </w:r>
          </w:p>
          <w:p w:rsidR="00AE0D7A" w:rsidRPr="003A3C1B" w:rsidRDefault="00AE0D7A" w:rsidP="007F354B">
            <w:pPr>
              <w:autoSpaceDE w:val="0"/>
              <w:autoSpaceDN w:val="0"/>
              <w:adjustRightInd w:val="0"/>
              <w:spacing w:after="0" w:line="240" w:lineRule="auto"/>
              <w:jc w:val="both"/>
              <w:rPr>
                <w:rFonts w:ascii="Helvetica" w:eastAsia="Times New Roman" w:hAnsi="Helvetica" w:cs="Arial"/>
                <w:sz w:val="18"/>
                <w:szCs w:val="18"/>
                <w:lang w:eastAsia="es-MX"/>
              </w:rPr>
            </w:pPr>
            <w:r w:rsidRPr="003A3C1B">
              <w:rPr>
                <w:rFonts w:ascii="Helvetica" w:hAnsi="Helvetica" w:cs="Arial"/>
                <w:bCs/>
                <w:sz w:val="18"/>
                <w:szCs w:val="18"/>
              </w:rPr>
              <w:t>Acuerdo por el que se emiten las reglas específicas del registro y valoración del patrimonio, Acuerdo por el que se emiten las principales reglas de registro y valoración del patrimonio (elementos generales)</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335"/>
        </w:trPr>
        <w:tc>
          <w:tcPr>
            <w:tcW w:w="1271" w:type="dxa"/>
            <w:shd w:val="clear" w:color="auto" w:fill="FFFFFF" w:themeFill="background1"/>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FFFFFF" w:themeFill="background1"/>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XXXV </w:t>
            </w:r>
            <w:r w:rsidRPr="003A3C1B">
              <w:rPr>
                <w:rFonts w:ascii="Helvetica" w:eastAsia="Times New Roman" w:hAnsi="Helvetica"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276" w:type="dxa"/>
            <w:shd w:val="clear" w:color="auto" w:fill="FFFFFF" w:themeFill="background1"/>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2693"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FFFFFF" w:themeFill="background1"/>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No se tiene registrada ninguna recomendación a la Oficina de Pensiones</w:t>
            </w:r>
          </w:p>
        </w:tc>
        <w:tc>
          <w:tcPr>
            <w:tcW w:w="1134" w:type="dxa"/>
            <w:shd w:val="clear" w:color="auto" w:fill="FFFFFF" w:themeFill="background1"/>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322"/>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XXXVI </w:t>
            </w:r>
            <w:r w:rsidRPr="003A3C1B">
              <w:rPr>
                <w:rFonts w:ascii="Helvetica" w:eastAsia="Times New Roman" w:hAnsi="Helvetica" w:cs="Times New Roman"/>
                <w:i/>
                <w:iCs/>
                <w:sz w:val="18"/>
                <w:szCs w:val="18"/>
                <w:lang w:eastAsia="es-MX"/>
              </w:rPr>
              <w:t>Las resoluciones y laudos que se emitan en procesos o procedimientos seguidos en forma de juicio;</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CE5436">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Como entidad paraestatal y sujeta a la Normatividad en Materia de Recursos Humanos para las Dependencias y Entidades de la Administración Pública de Oaxaca, es susceptible de ser demandada ante los Tribunales jurisdiccionales o del trabajo, por lo que las resoluciones o laudos aunque no sean emitidos por la Oficina de Pensiones, se dará a conocer dicha información cumpliendo  en todo caso si se encuentra clasificada como reservada de conformidad con lo dispuesto por el artículo 49 fracción XI de la Ley de Transparencia y acceso a la información de Oaxaca.</w:t>
            </w:r>
          </w:p>
        </w:tc>
        <w:tc>
          <w:tcPr>
            <w:tcW w:w="2693" w:type="dxa"/>
            <w:shd w:val="clear" w:color="auto" w:fill="auto"/>
            <w:vAlign w:val="center"/>
          </w:tcPr>
          <w:p w:rsidR="00AE0D7A" w:rsidRPr="003A3C1B" w:rsidRDefault="00AE0D7A" w:rsidP="001C2461">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Normatividad en Materia de Recursos Humanos para las Dependencias y Entidades de la Administración Pública de Oaxaca, 14 Y 14 bis de la Ley de Entidades para Estales, 79 de la Ley de Pensiones para los Trabajadores del Gobierno del Estado de Oaxaca.</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661"/>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XXXVII </w:t>
            </w:r>
            <w:r w:rsidRPr="003A3C1B">
              <w:rPr>
                <w:rFonts w:ascii="Helvetica" w:eastAsia="Times New Roman" w:hAnsi="Helvetica" w:cs="Times New Roman"/>
                <w:i/>
                <w:iCs/>
                <w:sz w:val="18"/>
                <w:szCs w:val="18"/>
                <w:lang w:eastAsia="es-MX"/>
              </w:rPr>
              <w:t>Los mecanismos de participación ciudadana;</w:t>
            </w:r>
          </w:p>
        </w:tc>
        <w:tc>
          <w:tcPr>
            <w:tcW w:w="1276" w:type="dxa"/>
            <w:shd w:val="clear" w:color="auto" w:fill="auto"/>
            <w:vAlign w:val="center"/>
          </w:tcPr>
          <w:p w:rsidR="00AE0D7A" w:rsidRPr="003A3C1B" w:rsidRDefault="00AE0D7A" w:rsidP="0049202A">
            <w:pPr>
              <w:spacing w:after="0" w:line="240" w:lineRule="auto"/>
              <w:jc w:val="center"/>
              <w:rPr>
                <w:rFonts w:ascii="Helvetica" w:eastAsia="Times New Roman" w:hAnsi="Helvetica" w:cs="Times New Roman"/>
                <w:sz w:val="18"/>
                <w:szCs w:val="18"/>
                <w:u w:val="single"/>
                <w:lang w:eastAsia="es-MX"/>
              </w:rPr>
            </w:pPr>
            <w:r w:rsidRPr="003A3C1B">
              <w:rPr>
                <w:rFonts w:ascii="Helvetica" w:eastAsia="Times New Roman" w:hAnsi="Helvetica" w:cs="Times New Roman"/>
                <w:sz w:val="18"/>
                <w:szCs w:val="18"/>
                <w:u w:val="single"/>
                <w:lang w:eastAsia="es-MX"/>
              </w:rPr>
              <w:t xml:space="preserve"> 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Es aplicable en términos a lo establecido en el artículo 25 inciso C de fracción IV de la Constitución Política del Estado Libre y Soberano de Oaxaca</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23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XXXVIII </w:t>
            </w:r>
            <w:r w:rsidRPr="003A3C1B">
              <w:rPr>
                <w:rFonts w:ascii="Helvetica" w:eastAsia="Times New Roman" w:hAnsi="Helvetica"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276" w:type="dxa"/>
            <w:shd w:val="clear" w:color="auto" w:fill="auto"/>
            <w:vAlign w:val="center"/>
          </w:tcPr>
          <w:p w:rsidR="00AE0D7A" w:rsidRPr="003A3C1B" w:rsidRDefault="00AE0D7A" w:rsidP="00401529">
            <w:pPr>
              <w:spacing w:after="0" w:line="240" w:lineRule="auto"/>
              <w:jc w:val="both"/>
              <w:rPr>
                <w:rFonts w:ascii="Helvetica" w:eastAsia="Times New Roman" w:hAnsi="Helvetica" w:cs="Times New Roman"/>
                <w:sz w:val="18"/>
                <w:szCs w:val="18"/>
                <w:u w:val="single"/>
                <w:lang w:eastAsia="es-MX"/>
              </w:rPr>
            </w:pPr>
            <w:r w:rsidRPr="003A3C1B">
              <w:rPr>
                <w:rFonts w:ascii="Helvetica" w:eastAsia="Times New Roman" w:hAnsi="Helvetica" w:cs="Times New Roman"/>
                <w:sz w:val="18"/>
                <w:szCs w:val="18"/>
                <w:u w:val="single"/>
                <w:lang w:eastAsia="es-MX"/>
              </w:rPr>
              <w:t>NO APLICA</w:t>
            </w:r>
          </w:p>
        </w:tc>
        <w:tc>
          <w:tcPr>
            <w:tcW w:w="2768" w:type="dxa"/>
            <w:shd w:val="clear" w:color="auto" w:fill="auto"/>
            <w:vAlign w:val="center"/>
          </w:tcPr>
          <w:p w:rsidR="00AE0D7A" w:rsidRPr="003A3C1B" w:rsidRDefault="00AE0D7A" w:rsidP="00401529">
            <w:pPr>
              <w:spacing w:after="0" w:line="240" w:lineRule="auto"/>
              <w:jc w:val="both"/>
              <w:rPr>
                <w:rFonts w:ascii="Helvetica" w:eastAsia="Times New Roman" w:hAnsi="Helvetica" w:cs="Times New Roman"/>
                <w:i/>
                <w:sz w:val="18"/>
                <w:szCs w:val="18"/>
                <w:lang w:eastAsia="es-MX"/>
              </w:rPr>
            </w:pPr>
            <w:r w:rsidRPr="003A3C1B">
              <w:rPr>
                <w:rFonts w:ascii="Helvetica" w:eastAsia="Times New Roman" w:hAnsi="Helvetica" w:cs="Times New Roman"/>
                <w:sz w:val="18"/>
                <w:szCs w:val="18"/>
                <w:lang w:eastAsia="es-MX"/>
              </w:rPr>
              <w:t xml:space="preserve">Tomando en consideración que la  Oficina de Pensiones fue creada para garantizar la seguridad social y calidad de vida de los Jubilados, Pensionados y Pensionistas a través del pago de pensión al retirarse de la vida laboral </w:t>
            </w:r>
            <w:r w:rsidRPr="003A3C1B">
              <w:rPr>
                <w:rFonts w:ascii="Helvetica" w:eastAsia="Times New Roman" w:hAnsi="Helvetica" w:cs="Times New Roman"/>
                <w:sz w:val="18"/>
                <w:szCs w:val="18"/>
                <w:lang w:eastAsia="es-MX"/>
              </w:rPr>
              <w:lastRenderedPageBreak/>
              <w:t>mediante un fondo de pensiones que se crea con aportaciones bipartitas (trabajador-patrón); l</w:t>
            </w:r>
            <w:r w:rsidRPr="003A3C1B">
              <w:rPr>
                <w:rFonts w:ascii="Helvetica" w:eastAsia="Times New Roman" w:hAnsi="Helvetica" w:cs="Times New Roman"/>
                <w:i/>
                <w:sz w:val="18"/>
                <w:szCs w:val="18"/>
                <w:lang w:val="es-ES" w:eastAsia="es-MX"/>
              </w:rPr>
              <w:t>a Oficina de Pensiones no  lleva a cabo, ni ejecuta programas distintos a los establecido en la Ley de Pensiones; así como tampoco los programas establecidos en el artículo 70 fracción XV de la Ley General de Transparencia y Acceso a la Información.</w:t>
            </w:r>
          </w:p>
        </w:tc>
        <w:tc>
          <w:tcPr>
            <w:tcW w:w="2693" w:type="dxa"/>
            <w:shd w:val="clear" w:color="auto" w:fill="auto"/>
            <w:vAlign w:val="center"/>
          </w:tcPr>
          <w:p w:rsidR="00AE0D7A" w:rsidRPr="003A3C1B" w:rsidRDefault="00AE0D7A" w:rsidP="00401529">
            <w:pPr>
              <w:spacing w:after="0" w:line="240" w:lineRule="auto"/>
              <w:jc w:val="both"/>
              <w:rPr>
                <w:rFonts w:ascii="Helvetica" w:eastAsia="Times New Roman" w:hAnsi="Helvetica" w:cs="Times New Roman"/>
                <w:i/>
                <w:sz w:val="18"/>
                <w:szCs w:val="18"/>
                <w:lang w:eastAsia="es-MX"/>
              </w:rPr>
            </w:pPr>
            <w:r w:rsidRPr="003A3C1B">
              <w:rPr>
                <w:rFonts w:ascii="Helvetica" w:eastAsia="Times New Roman" w:hAnsi="Helvetica" w:cs="Times New Roman"/>
                <w:i/>
                <w:sz w:val="18"/>
                <w:szCs w:val="18"/>
                <w:lang w:val="es-ES" w:eastAsia="es-MX"/>
              </w:rPr>
              <w:lastRenderedPageBreak/>
              <w:t xml:space="preserve"> Artículo 1° y 2° de la Ley de Pensiones para los Trabadores del Gobierno del Estado de Oaxaca, Lineamientos técnicos generales para la publicación, homologación y estandarización de la información de las obligaciones </w:t>
            </w:r>
            <w:r w:rsidRPr="003A3C1B">
              <w:rPr>
                <w:rFonts w:ascii="Helvetica" w:eastAsia="Times New Roman" w:hAnsi="Helvetica" w:cs="Times New Roman"/>
                <w:i/>
                <w:sz w:val="18"/>
                <w:szCs w:val="18"/>
                <w:lang w:val="es-ES" w:eastAsia="es-MX"/>
              </w:rPr>
              <w:lastRenderedPageBreak/>
              <w:t xml:space="preserve">establecidas en el título quinto y en la fracción IV del artículo 31 de la Ley General de Transparencia y Acceso a la Información Pública; </w:t>
            </w:r>
            <w:r w:rsidRPr="003A3C1B">
              <w:rPr>
                <w:rFonts w:ascii="Helvetica" w:eastAsia="Times New Roman" w:hAnsi="Helvetica" w:cs="Times New Roman"/>
                <w:i/>
                <w:sz w:val="18"/>
                <w:szCs w:val="18"/>
                <w:lang w:eastAsia="es-MX"/>
              </w:rPr>
              <w:t>Ley de Pensiones para los Trabajadores del Gobierno del Estado de Oaxaca.</w:t>
            </w: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AA56BD">
            <w:pPr>
              <w:spacing w:after="0" w:line="240" w:lineRule="auto"/>
              <w:jc w:val="both"/>
              <w:rPr>
                <w:rFonts w:ascii="Helvetica" w:eastAsia="Times New Roman" w:hAnsi="Helvetica" w:cs="Times New Roman"/>
                <w:strike/>
                <w:sz w:val="18"/>
                <w:szCs w:val="18"/>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727"/>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XXXIX </w:t>
            </w:r>
            <w:r w:rsidRPr="003A3C1B">
              <w:rPr>
                <w:rFonts w:ascii="Helvetica" w:eastAsia="Times New Roman" w:hAnsi="Helvetica" w:cs="Times New Roman"/>
                <w:i/>
                <w:iCs/>
                <w:sz w:val="18"/>
                <w:szCs w:val="18"/>
                <w:lang w:eastAsia="es-MX"/>
              </w:rPr>
              <w:t>Las actas y resoluciones del Comité de Transparencia de los sujetos obligados;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Hasta éste momento no se ha generado resolución en base a la Ley de Transparencia y Acceso a la Información Pública</w:t>
            </w: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79"/>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 </w:t>
            </w:r>
            <w:r w:rsidRPr="003A3C1B">
              <w:rPr>
                <w:rFonts w:ascii="Helvetica" w:eastAsia="Times New Roman" w:hAnsi="Helvetica" w:cs="Times New Roman"/>
                <w:i/>
                <w:iCs/>
                <w:sz w:val="18"/>
                <w:szCs w:val="18"/>
                <w:lang w:eastAsia="es-MX"/>
              </w:rPr>
              <w:t>Todas las evaluaciones y encuestas que hagan los sujetos obligados a programas financiados con recursos públicos;</w:t>
            </w:r>
          </w:p>
        </w:tc>
        <w:tc>
          <w:tcPr>
            <w:tcW w:w="1276" w:type="dxa"/>
            <w:shd w:val="clear" w:color="auto" w:fill="auto"/>
            <w:vAlign w:val="center"/>
          </w:tcPr>
          <w:p w:rsidR="00AE0D7A" w:rsidRPr="003A3C1B" w:rsidRDefault="00AE0D7A" w:rsidP="00634FF3">
            <w:pPr>
              <w:spacing w:after="0" w:line="240" w:lineRule="auto"/>
              <w:jc w:val="center"/>
              <w:rPr>
                <w:rFonts w:ascii="Helvetica" w:eastAsia="Times New Roman" w:hAnsi="Helvetica" w:cs="Times New Roman"/>
                <w:sz w:val="18"/>
                <w:szCs w:val="18"/>
                <w:u w:val="single"/>
                <w:lang w:eastAsia="es-MX"/>
              </w:rPr>
            </w:pPr>
            <w:r w:rsidRPr="003A3C1B">
              <w:rPr>
                <w:rFonts w:ascii="Helvetica" w:eastAsia="Times New Roman" w:hAnsi="Helvetica" w:cs="Times New Roman"/>
                <w:sz w:val="18"/>
                <w:szCs w:val="18"/>
                <w:u w:val="single"/>
                <w:lang w:eastAsia="es-MX"/>
              </w:rPr>
              <w:t>APLICA</w:t>
            </w:r>
          </w:p>
        </w:tc>
        <w:tc>
          <w:tcPr>
            <w:tcW w:w="2768" w:type="dxa"/>
            <w:shd w:val="clear" w:color="auto" w:fill="auto"/>
          </w:tcPr>
          <w:p w:rsidR="00AE0D7A" w:rsidRPr="003A3C1B" w:rsidRDefault="00AE0D7A" w:rsidP="000B09EB">
            <w:pPr>
              <w:spacing w:after="0" w:line="240" w:lineRule="auto"/>
              <w:jc w:val="both"/>
              <w:rPr>
                <w:rFonts w:ascii="Helvetica" w:eastAsia="Times New Roman" w:hAnsi="Helvetica" w:cs="Times New Roman"/>
                <w:i/>
                <w:sz w:val="18"/>
                <w:szCs w:val="18"/>
                <w:lang w:val="es-ES" w:eastAsia="es-MX"/>
              </w:rPr>
            </w:pPr>
          </w:p>
        </w:tc>
        <w:tc>
          <w:tcPr>
            <w:tcW w:w="2693" w:type="dxa"/>
            <w:shd w:val="clear" w:color="auto" w:fill="auto"/>
            <w:vAlign w:val="center"/>
          </w:tcPr>
          <w:p w:rsidR="00AE0D7A" w:rsidRPr="003A3C1B" w:rsidRDefault="00AE0D7A" w:rsidP="003472E6">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AA56BD">
            <w:pPr>
              <w:spacing w:after="0" w:line="240" w:lineRule="auto"/>
              <w:jc w:val="both"/>
              <w:rPr>
                <w:rFonts w:ascii="Helvetica" w:eastAsia="Times New Roman" w:hAnsi="Helvetica" w:cs="Times New Roman"/>
                <w:strike/>
                <w:sz w:val="18"/>
                <w:szCs w:val="18"/>
                <w:lang w:eastAsia="es-MX"/>
              </w:rPr>
            </w:pPr>
            <w:r w:rsidRPr="003A3C1B">
              <w:rPr>
                <w:rFonts w:eastAsia="Times New Roman" w:cs="Times New Roman"/>
                <w:sz w:val="18"/>
                <w:szCs w:val="18"/>
                <w:lang w:eastAsia="es-MX"/>
              </w:rPr>
              <w:t>Es aplicable en términos de los Lineamientos Técnicos Generales para la publicación, homologación y estandarización de la Información.</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412"/>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401529">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XLI </w:t>
            </w:r>
            <w:r w:rsidRPr="003A3C1B">
              <w:rPr>
                <w:rFonts w:ascii="Helvetica" w:eastAsia="Times New Roman" w:hAnsi="Helvetica" w:cs="Times New Roman"/>
                <w:i/>
                <w:iCs/>
                <w:sz w:val="18"/>
                <w:szCs w:val="18"/>
                <w:lang w:eastAsia="es-MX"/>
              </w:rPr>
              <w:t>Los estudios financiados con recursos públicos;</w:t>
            </w:r>
          </w:p>
        </w:tc>
        <w:tc>
          <w:tcPr>
            <w:tcW w:w="1276" w:type="dxa"/>
            <w:shd w:val="clear" w:color="auto" w:fill="auto"/>
            <w:vAlign w:val="center"/>
          </w:tcPr>
          <w:p w:rsidR="00AE0D7A" w:rsidRPr="003A3C1B" w:rsidRDefault="00AE0D7A" w:rsidP="00401529">
            <w:pPr>
              <w:spacing w:after="0" w:line="240" w:lineRule="auto"/>
              <w:jc w:val="both"/>
              <w:rPr>
                <w:rFonts w:ascii="Helvetica" w:eastAsia="Times New Roman" w:hAnsi="Helvetica" w:cs="Times New Roman"/>
                <w:sz w:val="18"/>
                <w:szCs w:val="18"/>
                <w:u w:val="single"/>
                <w:lang w:eastAsia="es-MX"/>
              </w:rPr>
            </w:pPr>
            <w:r w:rsidRPr="003A3C1B">
              <w:rPr>
                <w:rFonts w:ascii="Helvetica" w:eastAsia="Times New Roman" w:hAnsi="Helvetica" w:cs="Times New Roman"/>
                <w:sz w:val="18"/>
                <w:szCs w:val="18"/>
                <w:u w:val="single"/>
                <w:lang w:eastAsia="es-MX"/>
              </w:rPr>
              <w:t>APLICA</w:t>
            </w:r>
          </w:p>
        </w:tc>
        <w:tc>
          <w:tcPr>
            <w:tcW w:w="2768" w:type="dxa"/>
            <w:shd w:val="clear" w:color="auto" w:fill="auto"/>
          </w:tcPr>
          <w:p w:rsidR="00AE0D7A" w:rsidRPr="003A3C1B" w:rsidRDefault="00AE0D7A" w:rsidP="00401529">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401529">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401529">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401529">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Es aplicable en términos de lo establecido en el artículo 89 </w:t>
            </w:r>
            <w:r w:rsidRPr="003A3C1B">
              <w:rPr>
                <w:rFonts w:ascii="Helvetica" w:eastAsia="Times New Roman" w:hAnsi="Helvetica" w:cs="Times New Roman"/>
                <w:sz w:val="18"/>
                <w:szCs w:val="18"/>
                <w:lang w:eastAsia="es-MX"/>
              </w:rPr>
              <w:lastRenderedPageBreak/>
              <w:t xml:space="preserve">fracción II inciso d) y e) de la Ley de Pensiones del Estado de Oaxaca. </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lastRenderedPageBreak/>
              <w:t>VALIDADA</w:t>
            </w:r>
          </w:p>
        </w:tc>
      </w:tr>
      <w:tr w:rsidR="003A3C1B" w:rsidRPr="003A3C1B" w:rsidTr="001A1A48">
        <w:trPr>
          <w:trHeight w:val="464"/>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XLII </w:t>
            </w:r>
            <w:r w:rsidRPr="003A3C1B">
              <w:rPr>
                <w:rFonts w:ascii="Helvetica" w:eastAsia="Times New Roman" w:hAnsi="Helvetica" w:cs="Times New Roman"/>
                <w:i/>
                <w:iCs/>
                <w:sz w:val="18"/>
                <w:szCs w:val="18"/>
                <w:lang w:eastAsia="es-MX"/>
              </w:rPr>
              <w:t>El listado de jubilados y pensionados y el monto que reciben;</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FFFFFF" w:themeFill="background1"/>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Obligación generada por disposición legal.</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General de Transparencia y Acceso a la Información Pública, Ley de Transparencia Y acceso a la Información Pública de Oaxaca, y Ley de Pensiones para los Trabajadores del Gobierno del Estado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23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XLIII </w:t>
            </w:r>
            <w:r w:rsidRPr="003A3C1B">
              <w:rPr>
                <w:rFonts w:ascii="Helvetica" w:eastAsia="Times New Roman" w:hAnsi="Helvetica"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Ingresos percibidos por concepto de cuotas y aportaciones al Fondo de Pensiones </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de Pensiones para los Trabajadores del Gobierno del Estado</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Departamento Administrativo</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430"/>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XLIV </w:t>
            </w:r>
            <w:r w:rsidRPr="003A3C1B">
              <w:rPr>
                <w:rFonts w:ascii="Helvetica" w:eastAsia="Times New Roman" w:hAnsi="Helvetica" w:cs="Times New Roman"/>
                <w:i/>
                <w:iCs/>
                <w:sz w:val="18"/>
                <w:szCs w:val="18"/>
                <w:lang w:eastAsia="es-MX"/>
              </w:rPr>
              <w:t>Donaciones hechas a terceros en dinero o en especie;</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 xml:space="preserve"> 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635868">
            <w:pPr>
              <w:spacing w:after="0" w:line="240" w:lineRule="auto"/>
              <w:jc w:val="both"/>
              <w:rPr>
                <w:rFonts w:ascii="Helvetica" w:eastAsia="Times New Roman" w:hAnsi="Helvetica" w:cs="Times New Roman"/>
                <w:i/>
                <w:sz w:val="18"/>
                <w:szCs w:val="18"/>
                <w:lang w:val="es-ES"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F05B58">
            <w:pPr>
              <w:spacing w:after="0" w:line="240" w:lineRule="auto"/>
              <w:jc w:val="both"/>
              <w:rPr>
                <w:rFonts w:ascii="Helvetica" w:eastAsia="Times New Roman" w:hAnsi="Helvetica" w:cs="Times New Roman"/>
                <w:sz w:val="18"/>
                <w:szCs w:val="18"/>
                <w:lang w:eastAsia="es-MX"/>
              </w:rPr>
            </w:pPr>
            <w:r w:rsidRPr="003A3C1B">
              <w:rPr>
                <w:rFonts w:eastAsia="Times New Roman" w:cs="Times New Roman"/>
                <w:sz w:val="18"/>
                <w:szCs w:val="18"/>
                <w:lang w:eastAsia="es-MX"/>
              </w:rPr>
              <w:t xml:space="preserve">Es aplicable en términos de los Lineamientos Técnicos Generales para la publicación, homologación y estandarización de la Información en relación con lo establecido en el artículo 2 fracción XX y 76 de la Ley Estatal de </w:t>
            </w:r>
            <w:r w:rsidRPr="003A3C1B">
              <w:rPr>
                <w:rFonts w:eastAsia="Times New Roman" w:cs="Times New Roman"/>
                <w:sz w:val="18"/>
                <w:szCs w:val="18"/>
                <w:lang w:eastAsia="es-MX"/>
              </w:rPr>
              <w:lastRenderedPageBreak/>
              <w:t>Presupuesto y Responsabilidad Hacendaria</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lastRenderedPageBreak/>
              <w:t>VALIDADA</w:t>
            </w:r>
          </w:p>
        </w:tc>
      </w:tr>
      <w:tr w:rsidR="003A3C1B" w:rsidRPr="003A3C1B" w:rsidTr="001A1A48">
        <w:trPr>
          <w:trHeight w:val="484"/>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XLV </w:t>
            </w:r>
            <w:r w:rsidRPr="003A3C1B">
              <w:rPr>
                <w:rFonts w:ascii="Helvetica" w:eastAsia="Times New Roman" w:hAnsi="Helvetica" w:cs="Times New Roman"/>
                <w:i/>
                <w:iCs/>
                <w:sz w:val="18"/>
                <w:szCs w:val="18"/>
                <w:lang w:eastAsia="es-MX"/>
              </w:rPr>
              <w:t>El catálogo de disposición y guía de archivo documental;</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Todas las áreas</w:t>
            </w: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909"/>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XLVI </w:t>
            </w:r>
            <w:r w:rsidRPr="003A3C1B">
              <w:rPr>
                <w:rFonts w:ascii="Helvetica" w:eastAsia="Times New Roman" w:hAnsi="Helvetica" w:cs="Times New Roman"/>
                <w:i/>
                <w:iCs/>
                <w:sz w:val="18"/>
                <w:szCs w:val="18"/>
                <w:lang w:eastAsia="es-MX"/>
              </w:rPr>
              <w:t>Las actas de sesiones ordinarias y extraordinarias, así como las opiniones y recomendaciones que emitan, en su caso, los consejos consultivos;</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i/>
                <w:sz w:val="18"/>
                <w:szCs w:val="18"/>
                <w:lang w:eastAsia="es-MX"/>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Es aplicable en términos de lo establecido en el artículo 25 inciso C fracción IV de la Constitución Política del Estado Libre y Soberano de Oaxaca</w:t>
            </w: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3A3C1B" w:rsidRPr="003A3C1B" w:rsidTr="001A1A48">
        <w:trPr>
          <w:trHeight w:val="1335"/>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Arial"/>
                <w:b/>
                <w:bCs/>
                <w:i/>
                <w:iCs/>
                <w:sz w:val="18"/>
                <w:szCs w:val="18"/>
                <w:lang w:eastAsia="es-MX"/>
              </w:rPr>
              <w:t xml:space="preserve">Fracción XLVII </w:t>
            </w:r>
            <w:r w:rsidRPr="003A3C1B">
              <w:rPr>
                <w:rFonts w:ascii="Helvetica" w:eastAsia="Times New Roman" w:hAnsi="Helvetica"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NO 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i/>
                <w:sz w:val="18"/>
                <w:szCs w:val="18"/>
                <w:lang w:val="es-ES" w:eastAsia="es-MX"/>
              </w:rPr>
            </w:pPr>
            <w:r w:rsidRPr="003A3C1B">
              <w:rPr>
                <w:rFonts w:ascii="Helvetica" w:eastAsia="Times New Roman" w:hAnsi="Helvetica" w:cs="Times New Roman"/>
                <w:i/>
                <w:sz w:val="18"/>
                <w:szCs w:val="18"/>
                <w:lang w:val="es-ES" w:eastAsia="es-MX"/>
              </w:rPr>
              <w:t>La Oficina de Pensiones no cuenta con atribuciones o facultades para  generar ni detentar la información relativa al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p>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i/>
                <w:sz w:val="18"/>
                <w:szCs w:val="18"/>
                <w:lang w:val="es-ES" w:eastAsia="es-MX"/>
              </w:rPr>
              <w:t xml:space="preserve">Corresponde a los sujetos obligados del poder judicial de los tres órdenes de gobierno que tengan en sus atribuciones, la seguridad, procuración, </w:t>
            </w:r>
            <w:r w:rsidRPr="003A3C1B">
              <w:rPr>
                <w:rFonts w:ascii="Helvetica" w:eastAsia="Times New Roman" w:hAnsi="Helvetica" w:cs="Times New Roman"/>
                <w:i/>
                <w:sz w:val="18"/>
                <w:szCs w:val="18"/>
                <w:lang w:val="es-ES" w:eastAsia="es-MX"/>
              </w:rPr>
              <w:lastRenderedPageBreak/>
              <w:t>impartición o administración de justicia la publicación de un listado de las solicitudes de intervención de comunicaciones privadas, una vez que haya concluido el trámite de la solicitud que corresponda; por lo tanto al no ser un órgano de impartición de justicia no genera dicha información.</w:t>
            </w: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lastRenderedPageBreak/>
              <w:t>Artículos 2, 3 fracción VIII y 79  de la Ley de Pensiones para los Trabajadores del Gobierno del Estado; 13 y 14 de la Ley de Entidades Paraestatales, 291, 297, 303 del Código Nacional de Procedimientos Penales</w:t>
            </w:r>
          </w:p>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417"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shd w:val="clear" w:color="auto" w:fill="auto"/>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shd w:val="clear" w:color="auto" w:fill="auto"/>
          </w:tcPr>
          <w:p w:rsidR="00AE0D7A" w:rsidRPr="003A3C1B" w:rsidRDefault="00AE0D7A">
            <w:r w:rsidRPr="003A3C1B">
              <w:rPr>
                <w:rFonts w:ascii="Helvetica" w:eastAsia="Times New Roman" w:hAnsi="Helvetica" w:cs="Times New Roman"/>
                <w:sz w:val="18"/>
                <w:szCs w:val="18"/>
                <w:lang w:eastAsia="es-MX"/>
              </w:rPr>
              <w:t>VALIDADA</w:t>
            </w:r>
          </w:p>
        </w:tc>
      </w:tr>
      <w:tr w:rsidR="00AE0D7A" w:rsidRPr="003A3C1B" w:rsidTr="001A1A48">
        <w:trPr>
          <w:trHeight w:val="1236"/>
        </w:trPr>
        <w:tc>
          <w:tcPr>
            <w:tcW w:w="1271" w:type="dxa"/>
            <w:shd w:val="clear" w:color="auto" w:fill="auto"/>
            <w:vAlign w:val="center"/>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lastRenderedPageBreak/>
              <w:t>Artículo 70</w:t>
            </w:r>
          </w:p>
        </w:tc>
        <w:tc>
          <w:tcPr>
            <w:tcW w:w="2977" w:type="dxa"/>
            <w:shd w:val="clear" w:color="auto" w:fill="auto"/>
            <w:hideMark/>
          </w:tcPr>
          <w:p w:rsidR="00AE0D7A" w:rsidRPr="003A3C1B" w:rsidRDefault="00AE0D7A" w:rsidP="007F354B">
            <w:pPr>
              <w:spacing w:after="0" w:line="240" w:lineRule="auto"/>
              <w:jc w:val="both"/>
              <w:rPr>
                <w:rFonts w:ascii="Helvetica" w:eastAsia="Times New Roman" w:hAnsi="Helvetica" w:cs="Times New Roman"/>
                <w:i/>
                <w:iCs/>
                <w:sz w:val="18"/>
                <w:szCs w:val="18"/>
                <w:lang w:eastAsia="es-MX"/>
              </w:rPr>
            </w:pPr>
            <w:r w:rsidRPr="003A3C1B">
              <w:rPr>
                <w:rFonts w:ascii="Helvetica" w:eastAsia="Times New Roman" w:hAnsi="Helvetica" w:cs="Times New Roman"/>
                <w:b/>
                <w:bCs/>
                <w:i/>
                <w:iCs/>
                <w:sz w:val="18"/>
                <w:szCs w:val="18"/>
                <w:lang w:eastAsia="es-MX"/>
              </w:rPr>
              <w:t xml:space="preserve">Fracción XLVIII </w:t>
            </w:r>
            <w:r w:rsidRPr="003A3C1B">
              <w:rPr>
                <w:rFonts w:ascii="Helvetica" w:eastAsia="Times New Roman" w:hAnsi="Helvetica"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276" w:type="dxa"/>
            <w:shd w:val="clear" w:color="auto" w:fill="auto"/>
            <w:vAlign w:val="center"/>
          </w:tcPr>
          <w:p w:rsidR="00AE0D7A" w:rsidRPr="003A3C1B" w:rsidRDefault="00AE0D7A" w:rsidP="00A76B59">
            <w:pPr>
              <w:spacing w:after="0" w:line="240" w:lineRule="auto"/>
              <w:jc w:val="center"/>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APLICA</w:t>
            </w:r>
          </w:p>
        </w:tc>
        <w:tc>
          <w:tcPr>
            <w:tcW w:w="2768"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2693" w:type="dxa"/>
            <w:shd w:val="clear" w:color="auto" w:fill="auto"/>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r w:rsidRPr="003A3C1B">
              <w:rPr>
                <w:rFonts w:ascii="Helvetica" w:eastAsia="Times New Roman" w:hAnsi="Helvetica" w:cs="Times New Roman"/>
                <w:sz w:val="18"/>
                <w:szCs w:val="18"/>
                <w:lang w:eastAsia="es-MX"/>
              </w:rPr>
              <w:t>Ley General de Transparencia y Acceso a la Información Pública, Ley de Transparencia Y acceso a la Información Pública de Oaxaca.</w:t>
            </w:r>
          </w:p>
        </w:tc>
        <w:tc>
          <w:tcPr>
            <w:tcW w:w="1417" w:type="dxa"/>
            <w:vAlign w:val="center"/>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5" w:type="dxa"/>
          </w:tcPr>
          <w:p w:rsidR="00AE0D7A" w:rsidRPr="003A3C1B" w:rsidRDefault="00AE0D7A" w:rsidP="007F354B">
            <w:pPr>
              <w:spacing w:after="0" w:line="240" w:lineRule="auto"/>
              <w:jc w:val="both"/>
              <w:rPr>
                <w:rFonts w:ascii="Helvetica" w:eastAsia="Times New Roman" w:hAnsi="Helvetica" w:cs="Times New Roman"/>
                <w:sz w:val="18"/>
                <w:szCs w:val="18"/>
                <w:lang w:eastAsia="es-MX"/>
              </w:rPr>
            </w:pPr>
          </w:p>
        </w:tc>
        <w:tc>
          <w:tcPr>
            <w:tcW w:w="1134" w:type="dxa"/>
          </w:tcPr>
          <w:p w:rsidR="00AE0D7A" w:rsidRPr="003A3C1B" w:rsidRDefault="00AE0D7A">
            <w:r w:rsidRPr="003A3C1B">
              <w:rPr>
                <w:rFonts w:ascii="Helvetica" w:eastAsia="Times New Roman" w:hAnsi="Helvetica" w:cs="Times New Roman"/>
                <w:sz w:val="18"/>
                <w:szCs w:val="18"/>
                <w:lang w:eastAsia="es-MX"/>
              </w:rPr>
              <w:t>VALIDADA</w:t>
            </w:r>
          </w:p>
        </w:tc>
      </w:tr>
    </w:tbl>
    <w:p w:rsidR="008F32A6" w:rsidRPr="003A3C1B" w:rsidRDefault="008F32A6" w:rsidP="008F32A6">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rPr>
      </w:pPr>
    </w:p>
    <w:p w:rsidR="003A3C1B" w:rsidRPr="003A3C1B" w:rsidRDefault="003A3C1B" w:rsidP="003A3C1B">
      <w:pPr>
        <w:pStyle w:val="CuerpoA"/>
        <w:tabs>
          <w:tab w:val="left" w:pos="216"/>
        </w:tabs>
        <w:spacing w:after="0" w:line="240" w:lineRule="auto"/>
        <w:ind w:firstLine="70"/>
        <w:jc w:val="both"/>
        <w:rPr>
          <w:color w:val="auto"/>
        </w:rPr>
      </w:pPr>
      <w:r w:rsidRPr="003A3C1B">
        <w:rPr>
          <w:color w:val="auto"/>
        </w:rPr>
        <w:t xml:space="preserve">La validación de la  presente  tabla de aplicabilidad es susceptible de ser modificada cuando lo considere viable este Órgano Garante con base a la normatividad en la materia. </w:t>
      </w:r>
    </w:p>
    <w:p w:rsidR="003A3C1B" w:rsidRPr="003A3C1B" w:rsidRDefault="003A3C1B" w:rsidP="003A3C1B">
      <w:pPr>
        <w:jc w:val="right"/>
        <w:rPr>
          <w:b/>
          <w:i/>
          <w:sz w:val="18"/>
          <w:szCs w:val="18"/>
        </w:rPr>
      </w:pPr>
      <w:r w:rsidRPr="003A3C1B">
        <w:t xml:space="preserve">Oaxaca de Juárez </w:t>
      </w:r>
      <w:proofErr w:type="spellStart"/>
      <w:r w:rsidRPr="003A3C1B">
        <w:t>Oax</w:t>
      </w:r>
      <w:proofErr w:type="spellEnd"/>
      <w:r w:rsidRPr="003A3C1B">
        <w:t>., dieciocho  de enero  de dos mil diecisiete.</w:t>
      </w:r>
    </w:p>
    <w:p w:rsidR="003A3C1B" w:rsidRPr="003A3C1B" w:rsidRDefault="003A3C1B" w:rsidP="003A3C1B">
      <w:pPr>
        <w:jc w:val="center"/>
        <w:rPr>
          <w:sz w:val="24"/>
          <w:szCs w:val="24"/>
        </w:rPr>
      </w:pPr>
      <w:r w:rsidRPr="003A3C1B">
        <w:t xml:space="preserve">ELABORÓ                                                                                                                                               </w:t>
      </w:r>
      <w:proofErr w:type="spellStart"/>
      <w:r w:rsidRPr="003A3C1B">
        <w:t>Vo</w:t>
      </w:r>
      <w:proofErr w:type="spellEnd"/>
      <w:r w:rsidRPr="003A3C1B">
        <w:t>. Bo.</w:t>
      </w:r>
    </w:p>
    <w:p w:rsidR="003A3C1B" w:rsidRPr="003A3C1B" w:rsidRDefault="003A3C1B" w:rsidP="003A3C1B">
      <w:pPr>
        <w:jc w:val="center"/>
      </w:pPr>
    </w:p>
    <w:p w:rsidR="003A3C1B" w:rsidRPr="003A3C1B" w:rsidRDefault="003A3C1B" w:rsidP="003A3C1B">
      <w:pPr>
        <w:jc w:val="center"/>
        <w:rPr>
          <w:b/>
          <w:sz w:val="18"/>
          <w:szCs w:val="18"/>
        </w:rPr>
      </w:pPr>
      <w:r w:rsidRPr="003A3C1B">
        <w:t>LIC. THOMAS AGUILAR MENDOZA</w:t>
      </w:r>
      <w:r w:rsidRPr="003A3C1B">
        <w:tab/>
      </w:r>
      <w:r w:rsidRPr="003A3C1B">
        <w:tab/>
      </w:r>
      <w:r w:rsidRPr="003A3C1B">
        <w:tab/>
        <w:t xml:space="preserve">                                                     LIC.  RICARDO DORANTES JIMENEZ</w:t>
      </w:r>
    </w:p>
    <w:p w:rsidR="00D92F9A" w:rsidRPr="003A3C1B" w:rsidRDefault="00D92F9A" w:rsidP="00D92F9A">
      <w:pPr>
        <w:rPr>
          <w:b/>
          <w:sz w:val="18"/>
          <w:szCs w:val="18"/>
        </w:rPr>
      </w:pPr>
    </w:p>
    <w:p w:rsidR="00D92F9A" w:rsidRPr="003A3C1B" w:rsidRDefault="00D92F9A" w:rsidP="008F32A6">
      <w:pPr>
        <w:pBdr>
          <w:top w:val="nil"/>
          <w:left w:val="nil"/>
          <w:bottom w:val="nil"/>
          <w:right w:val="nil"/>
          <w:between w:val="nil"/>
          <w:bar w:val="nil"/>
        </w:pBdr>
        <w:spacing w:after="0" w:line="240" w:lineRule="auto"/>
        <w:ind w:left="2124" w:firstLine="708"/>
        <w:rPr>
          <w:rFonts w:ascii="Times New Roman" w:eastAsia="Arial Unicode MS" w:hAnsi="Times New Roman" w:cs="Times New Roman"/>
          <w:b/>
          <w:sz w:val="18"/>
          <w:szCs w:val="18"/>
          <w:bdr w:val="nil"/>
        </w:rPr>
      </w:pPr>
      <w:bookmarkStart w:id="1" w:name="_GoBack"/>
      <w:bookmarkEnd w:id="1"/>
    </w:p>
    <w:sectPr w:rsidR="00D92F9A" w:rsidRPr="003A3C1B" w:rsidSect="004945A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2A" w:rsidRDefault="00B03A2A" w:rsidP="00A13F76">
      <w:pPr>
        <w:spacing w:after="0" w:line="240" w:lineRule="auto"/>
      </w:pPr>
      <w:r>
        <w:separator/>
      </w:r>
    </w:p>
  </w:endnote>
  <w:endnote w:type="continuationSeparator" w:id="0">
    <w:p w:rsidR="00B03A2A" w:rsidRDefault="00B03A2A" w:rsidP="00A1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2A" w:rsidRDefault="00B03A2A" w:rsidP="00A13F76">
      <w:pPr>
        <w:spacing w:after="0" w:line="240" w:lineRule="auto"/>
      </w:pPr>
      <w:r>
        <w:separator/>
      </w:r>
    </w:p>
  </w:footnote>
  <w:footnote w:type="continuationSeparator" w:id="0">
    <w:p w:rsidR="00B03A2A" w:rsidRDefault="00B03A2A" w:rsidP="00A13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4E8"/>
    <w:multiLevelType w:val="hybridMultilevel"/>
    <w:tmpl w:val="B08C63F4"/>
    <w:lvl w:ilvl="0" w:tplc="BF8CDC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6D04"/>
    <w:rsid w:val="000015FD"/>
    <w:rsid w:val="0001065E"/>
    <w:rsid w:val="00015FA6"/>
    <w:rsid w:val="00020A56"/>
    <w:rsid w:val="00027D66"/>
    <w:rsid w:val="00027EF3"/>
    <w:rsid w:val="00034304"/>
    <w:rsid w:val="00040E3E"/>
    <w:rsid w:val="000414CB"/>
    <w:rsid w:val="00041551"/>
    <w:rsid w:val="000475C1"/>
    <w:rsid w:val="00050A3A"/>
    <w:rsid w:val="00056001"/>
    <w:rsid w:val="000560C6"/>
    <w:rsid w:val="00057A74"/>
    <w:rsid w:val="00060E34"/>
    <w:rsid w:val="000630AE"/>
    <w:rsid w:val="00064278"/>
    <w:rsid w:val="00071125"/>
    <w:rsid w:val="000730EA"/>
    <w:rsid w:val="00074DE3"/>
    <w:rsid w:val="00087962"/>
    <w:rsid w:val="0009366A"/>
    <w:rsid w:val="00095E0A"/>
    <w:rsid w:val="00097722"/>
    <w:rsid w:val="000A568E"/>
    <w:rsid w:val="000A6BB3"/>
    <w:rsid w:val="000B09EB"/>
    <w:rsid w:val="000B462A"/>
    <w:rsid w:val="000B63FD"/>
    <w:rsid w:val="000C0CBF"/>
    <w:rsid w:val="000C2EDF"/>
    <w:rsid w:val="000D031C"/>
    <w:rsid w:val="000D1A64"/>
    <w:rsid w:val="000E0289"/>
    <w:rsid w:val="000E6608"/>
    <w:rsid w:val="000E662C"/>
    <w:rsid w:val="000F1283"/>
    <w:rsid w:val="000F1D7C"/>
    <w:rsid w:val="000F3B12"/>
    <w:rsid w:val="000F77AA"/>
    <w:rsid w:val="000F7861"/>
    <w:rsid w:val="0010041E"/>
    <w:rsid w:val="00101AE1"/>
    <w:rsid w:val="00116245"/>
    <w:rsid w:val="00123442"/>
    <w:rsid w:val="00126D56"/>
    <w:rsid w:val="00135CBA"/>
    <w:rsid w:val="001560EE"/>
    <w:rsid w:val="00161954"/>
    <w:rsid w:val="00163354"/>
    <w:rsid w:val="00185D85"/>
    <w:rsid w:val="001A5565"/>
    <w:rsid w:val="001B1A08"/>
    <w:rsid w:val="001B6A36"/>
    <w:rsid w:val="001C2461"/>
    <w:rsid w:val="001C618E"/>
    <w:rsid w:val="001C64BC"/>
    <w:rsid w:val="001E14C0"/>
    <w:rsid w:val="00204FFB"/>
    <w:rsid w:val="0020571F"/>
    <w:rsid w:val="00205E7E"/>
    <w:rsid w:val="00211C21"/>
    <w:rsid w:val="002138E0"/>
    <w:rsid w:val="002239CC"/>
    <w:rsid w:val="00224747"/>
    <w:rsid w:val="00226D95"/>
    <w:rsid w:val="002279B4"/>
    <w:rsid w:val="00251753"/>
    <w:rsid w:val="002559B3"/>
    <w:rsid w:val="00255D72"/>
    <w:rsid w:val="002745B7"/>
    <w:rsid w:val="0029046A"/>
    <w:rsid w:val="00291321"/>
    <w:rsid w:val="00292EE5"/>
    <w:rsid w:val="00294EE7"/>
    <w:rsid w:val="002A5215"/>
    <w:rsid w:val="002B0372"/>
    <w:rsid w:val="002C5E0D"/>
    <w:rsid w:val="002D0239"/>
    <w:rsid w:val="002D2E9D"/>
    <w:rsid w:val="002E408F"/>
    <w:rsid w:val="002F34FF"/>
    <w:rsid w:val="002F35DE"/>
    <w:rsid w:val="003011D0"/>
    <w:rsid w:val="00302F43"/>
    <w:rsid w:val="00307127"/>
    <w:rsid w:val="00307E1E"/>
    <w:rsid w:val="00321F54"/>
    <w:rsid w:val="0032482C"/>
    <w:rsid w:val="00334A7D"/>
    <w:rsid w:val="0034019E"/>
    <w:rsid w:val="003463F7"/>
    <w:rsid w:val="003472E6"/>
    <w:rsid w:val="00347E84"/>
    <w:rsid w:val="0035049E"/>
    <w:rsid w:val="00351FC7"/>
    <w:rsid w:val="00352004"/>
    <w:rsid w:val="00354BB6"/>
    <w:rsid w:val="0035573C"/>
    <w:rsid w:val="00374787"/>
    <w:rsid w:val="003909AD"/>
    <w:rsid w:val="00391C78"/>
    <w:rsid w:val="00393150"/>
    <w:rsid w:val="003A3C1B"/>
    <w:rsid w:val="003A7C92"/>
    <w:rsid w:val="003A7FCE"/>
    <w:rsid w:val="003B1354"/>
    <w:rsid w:val="003B547B"/>
    <w:rsid w:val="003C1834"/>
    <w:rsid w:val="003C5E99"/>
    <w:rsid w:val="003C6C9B"/>
    <w:rsid w:val="003D6C39"/>
    <w:rsid w:val="003F0BD2"/>
    <w:rsid w:val="0040361C"/>
    <w:rsid w:val="004072BA"/>
    <w:rsid w:val="00415199"/>
    <w:rsid w:val="00420FD8"/>
    <w:rsid w:val="004277FD"/>
    <w:rsid w:val="0043092D"/>
    <w:rsid w:val="00443625"/>
    <w:rsid w:val="004504AB"/>
    <w:rsid w:val="004542B2"/>
    <w:rsid w:val="004561DB"/>
    <w:rsid w:val="00456FA1"/>
    <w:rsid w:val="00474056"/>
    <w:rsid w:val="00477E68"/>
    <w:rsid w:val="00490389"/>
    <w:rsid w:val="0049202A"/>
    <w:rsid w:val="004945A0"/>
    <w:rsid w:val="004A1CBB"/>
    <w:rsid w:val="004B219B"/>
    <w:rsid w:val="004B4802"/>
    <w:rsid w:val="004C196D"/>
    <w:rsid w:val="004C4C49"/>
    <w:rsid w:val="004C5F51"/>
    <w:rsid w:val="004E0C22"/>
    <w:rsid w:val="004E0C83"/>
    <w:rsid w:val="004E2F77"/>
    <w:rsid w:val="004E3EE9"/>
    <w:rsid w:val="004E5365"/>
    <w:rsid w:val="004F624C"/>
    <w:rsid w:val="004F6472"/>
    <w:rsid w:val="00502EC8"/>
    <w:rsid w:val="00506890"/>
    <w:rsid w:val="00511F6E"/>
    <w:rsid w:val="00530FBB"/>
    <w:rsid w:val="00532BDD"/>
    <w:rsid w:val="005335DA"/>
    <w:rsid w:val="005336BC"/>
    <w:rsid w:val="00535147"/>
    <w:rsid w:val="0053642B"/>
    <w:rsid w:val="005372FB"/>
    <w:rsid w:val="0054232F"/>
    <w:rsid w:val="0054402E"/>
    <w:rsid w:val="00544823"/>
    <w:rsid w:val="00545ABD"/>
    <w:rsid w:val="0055324B"/>
    <w:rsid w:val="005718DA"/>
    <w:rsid w:val="00583943"/>
    <w:rsid w:val="005864ED"/>
    <w:rsid w:val="00586D04"/>
    <w:rsid w:val="00593BBB"/>
    <w:rsid w:val="005947F1"/>
    <w:rsid w:val="005A7E54"/>
    <w:rsid w:val="005C0560"/>
    <w:rsid w:val="005C38F5"/>
    <w:rsid w:val="005C450C"/>
    <w:rsid w:val="005C6B6C"/>
    <w:rsid w:val="005D4C8D"/>
    <w:rsid w:val="005E3197"/>
    <w:rsid w:val="005F2AB3"/>
    <w:rsid w:val="005F6474"/>
    <w:rsid w:val="005F6E91"/>
    <w:rsid w:val="00602861"/>
    <w:rsid w:val="0060307B"/>
    <w:rsid w:val="006075FE"/>
    <w:rsid w:val="00617DC3"/>
    <w:rsid w:val="00621649"/>
    <w:rsid w:val="00621D10"/>
    <w:rsid w:val="006261B1"/>
    <w:rsid w:val="00634FF3"/>
    <w:rsid w:val="00635868"/>
    <w:rsid w:val="0063753D"/>
    <w:rsid w:val="00642FAE"/>
    <w:rsid w:val="006473F3"/>
    <w:rsid w:val="0065113E"/>
    <w:rsid w:val="006571CF"/>
    <w:rsid w:val="00657231"/>
    <w:rsid w:val="00657B60"/>
    <w:rsid w:val="00661E56"/>
    <w:rsid w:val="0066674C"/>
    <w:rsid w:val="00680465"/>
    <w:rsid w:val="00680BF9"/>
    <w:rsid w:val="00687F44"/>
    <w:rsid w:val="006939A1"/>
    <w:rsid w:val="006A125F"/>
    <w:rsid w:val="006A4577"/>
    <w:rsid w:val="006C1DE8"/>
    <w:rsid w:val="006C2746"/>
    <w:rsid w:val="006C3E9D"/>
    <w:rsid w:val="006C5F6E"/>
    <w:rsid w:val="006D2098"/>
    <w:rsid w:val="006D7B24"/>
    <w:rsid w:val="006E54FF"/>
    <w:rsid w:val="006F4000"/>
    <w:rsid w:val="006F5E51"/>
    <w:rsid w:val="00701AC0"/>
    <w:rsid w:val="00725388"/>
    <w:rsid w:val="00725590"/>
    <w:rsid w:val="0073725E"/>
    <w:rsid w:val="00751F71"/>
    <w:rsid w:val="00753715"/>
    <w:rsid w:val="00754A71"/>
    <w:rsid w:val="007553B8"/>
    <w:rsid w:val="0075771D"/>
    <w:rsid w:val="00767607"/>
    <w:rsid w:val="00782953"/>
    <w:rsid w:val="00783D7A"/>
    <w:rsid w:val="0078587C"/>
    <w:rsid w:val="0078612A"/>
    <w:rsid w:val="00792A2C"/>
    <w:rsid w:val="007A20DD"/>
    <w:rsid w:val="007B0B8E"/>
    <w:rsid w:val="007B0EFE"/>
    <w:rsid w:val="007B30FC"/>
    <w:rsid w:val="007B6F7B"/>
    <w:rsid w:val="007D02B3"/>
    <w:rsid w:val="007D0E1F"/>
    <w:rsid w:val="007E6049"/>
    <w:rsid w:val="007F2661"/>
    <w:rsid w:val="007F354B"/>
    <w:rsid w:val="007F6843"/>
    <w:rsid w:val="00802A53"/>
    <w:rsid w:val="00804813"/>
    <w:rsid w:val="00825509"/>
    <w:rsid w:val="00825CDB"/>
    <w:rsid w:val="00826909"/>
    <w:rsid w:val="008271A2"/>
    <w:rsid w:val="00830BB2"/>
    <w:rsid w:val="008375A5"/>
    <w:rsid w:val="00843CE3"/>
    <w:rsid w:val="0084794D"/>
    <w:rsid w:val="008505BF"/>
    <w:rsid w:val="00853188"/>
    <w:rsid w:val="008552BC"/>
    <w:rsid w:val="00855D5E"/>
    <w:rsid w:val="0086030A"/>
    <w:rsid w:val="008735C5"/>
    <w:rsid w:val="00873D27"/>
    <w:rsid w:val="0088428C"/>
    <w:rsid w:val="00887A20"/>
    <w:rsid w:val="008972C2"/>
    <w:rsid w:val="008A0C78"/>
    <w:rsid w:val="008A22D4"/>
    <w:rsid w:val="008A42AB"/>
    <w:rsid w:val="008A562E"/>
    <w:rsid w:val="008A75D1"/>
    <w:rsid w:val="008B36D6"/>
    <w:rsid w:val="008C4D5D"/>
    <w:rsid w:val="008C7B92"/>
    <w:rsid w:val="008E3965"/>
    <w:rsid w:val="008F1536"/>
    <w:rsid w:val="008F32A6"/>
    <w:rsid w:val="009034E7"/>
    <w:rsid w:val="00914343"/>
    <w:rsid w:val="00915B4A"/>
    <w:rsid w:val="00921344"/>
    <w:rsid w:val="00924593"/>
    <w:rsid w:val="00927CD8"/>
    <w:rsid w:val="00937AC9"/>
    <w:rsid w:val="009413BC"/>
    <w:rsid w:val="00945513"/>
    <w:rsid w:val="00946278"/>
    <w:rsid w:val="00953415"/>
    <w:rsid w:val="0095509D"/>
    <w:rsid w:val="00956267"/>
    <w:rsid w:val="009568C0"/>
    <w:rsid w:val="00962475"/>
    <w:rsid w:val="00963517"/>
    <w:rsid w:val="00965C2C"/>
    <w:rsid w:val="00983576"/>
    <w:rsid w:val="00984A2B"/>
    <w:rsid w:val="00996A2F"/>
    <w:rsid w:val="00997D7C"/>
    <w:rsid w:val="009A68D2"/>
    <w:rsid w:val="009B3D34"/>
    <w:rsid w:val="009B523F"/>
    <w:rsid w:val="009B5B71"/>
    <w:rsid w:val="009C35BC"/>
    <w:rsid w:val="009D5F93"/>
    <w:rsid w:val="009D6A97"/>
    <w:rsid w:val="009E4F01"/>
    <w:rsid w:val="009F47D8"/>
    <w:rsid w:val="009F6BCA"/>
    <w:rsid w:val="00A01DAE"/>
    <w:rsid w:val="00A04092"/>
    <w:rsid w:val="00A05142"/>
    <w:rsid w:val="00A05362"/>
    <w:rsid w:val="00A13F76"/>
    <w:rsid w:val="00A14ED7"/>
    <w:rsid w:val="00A14FE2"/>
    <w:rsid w:val="00A151A6"/>
    <w:rsid w:val="00A22C93"/>
    <w:rsid w:val="00A23307"/>
    <w:rsid w:val="00A257C4"/>
    <w:rsid w:val="00A3777F"/>
    <w:rsid w:val="00A42755"/>
    <w:rsid w:val="00A43C40"/>
    <w:rsid w:val="00A575CA"/>
    <w:rsid w:val="00A76B59"/>
    <w:rsid w:val="00A815C6"/>
    <w:rsid w:val="00A86B06"/>
    <w:rsid w:val="00AA0D16"/>
    <w:rsid w:val="00AA6CA2"/>
    <w:rsid w:val="00AB0498"/>
    <w:rsid w:val="00AB065B"/>
    <w:rsid w:val="00AC2399"/>
    <w:rsid w:val="00AD094A"/>
    <w:rsid w:val="00AD2431"/>
    <w:rsid w:val="00AD291B"/>
    <w:rsid w:val="00AE092C"/>
    <w:rsid w:val="00AE0D7A"/>
    <w:rsid w:val="00AE6E61"/>
    <w:rsid w:val="00AF5CF9"/>
    <w:rsid w:val="00AF6C9D"/>
    <w:rsid w:val="00AF7447"/>
    <w:rsid w:val="00B03A2A"/>
    <w:rsid w:val="00B048C3"/>
    <w:rsid w:val="00B148A8"/>
    <w:rsid w:val="00B14FA5"/>
    <w:rsid w:val="00B20B91"/>
    <w:rsid w:val="00B233D5"/>
    <w:rsid w:val="00B36733"/>
    <w:rsid w:val="00B41E32"/>
    <w:rsid w:val="00B420EC"/>
    <w:rsid w:val="00B43B38"/>
    <w:rsid w:val="00B44D2D"/>
    <w:rsid w:val="00B46BA9"/>
    <w:rsid w:val="00B46F4C"/>
    <w:rsid w:val="00B50F96"/>
    <w:rsid w:val="00B65202"/>
    <w:rsid w:val="00B6732D"/>
    <w:rsid w:val="00B820B9"/>
    <w:rsid w:val="00B9622B"/>
    <w:rsid w:val="00B9652D"/>
    <w:rsid w:val="00B96B59"/>
    <w:rsid w:val="00BA2978"/>
    <w:rsid w:val="00BA7EC7"/>
    <w:rsid w:val="00BC746F"/>
    <w:rsid w:val="00BD56BB"/>
    <w:rsid w:val="00BE204C"/>
    <w:rsid w:val="00BE74FA"/>
    <w:rsid w:val="00C1023F"/>
    <w:rsid w:val="00C10694"/>
    <w:rsid w:val="00C1225A"/>
    <w:rsid w:val="00C24869"/>
    <w:rsid w:val="00C27DDF"/>
    <w:rsid w:val="00C3087C"/>
    <w:rsid w:val="00C51BA2"/>
    <w:rsid w:val="00C56C6D"/>
    <w:rsid w:val="00C61DB8"/>
    <w:rsid w:val="00C65608"/>
    <w:rsid w:val="00C664B3"/>
    <w:rsid w:val="00C74D62"/>
    <w:rsid w:val="00C8038A"/>
    <w:rsid w:val="00C81EAE"/>
    <w:rsid w:val="00C9196E"/>
    <w:rsid w:val="00C97EBF"/>
    <w:rsid w:val="00CB7B57"/>
    <w:rsid w:val="00CC50E7"/>
    <w:rsid w:val="00CD3DA5"/>
    <w:rsid w:val="00CD46F3"/>
    <w:rsid w:val="00CD61F6"/>
    <w:rsid w:val="00CD72D4"/>
    <w:rsid w:val="00CE00EB"/>
    <w:rsid w:val="00CE419A"/>
    <w:rsid w:val="00CE5436"/>
    <w:rsid w:val="00CF20DC"/>
    <w:rsid w:val="00CF4CB6"/>
    <w:rsid w:val="00D31518"/>
    <w:rsid w:val="00D33C7A"/>
    <w:rsid w:val="00D34B58"/>
    <w:rsid w:val="00D36FDD"/>
    <w:rsid w:val="00D43466"/>
    <w:rsid w:val="00D45E27"/>
    <w:rsid w:val="00D47EE6"/>
    <w:rsid w:val="00D62F9F"/>
    <w:rsid w:val="00D712FC"/>
    <w:rsid w:val="00D713B1"/>
    <w:rsid w:val="00D72DE8"/>
    <w:rsid w:val="00D808D5"/>
    <w:rsid w:val="00D85795"/>
    <w:rsid w:val="00D8767F"/>
    <w:rsid w:val="00D92F9A"/>
    <w:rsid w:val="00D961A0"/>
    <w:rsid w:val="00D97FD9"/>
    <w:rsid w:val="00DB28AF"/>
    <w:rsid w:val="00DB5DA0"/>
    <w:rsid w:val="00DD1D93"/>
    <w:rsid w:val="00DD1FBF"/>
    <w:rsid w:val="00DE2A64"/>
    <w:rsid w:val="00DF1B19"/>
    <w:rsid w:val="00DF2BB3"/>
    <w:rsid w:val="00DF3651"/>
    <w:rsid w:val="00E0154C"/>
    <w:rsid w:val="00E05632"/>
    <w:rsid w:val="00E24DC3"/>
    <w:rsid w:val="00E27FBC"/>
    <w:rsid w:val="00E37224"/>
    <w:rsid w:val="00E373E4"/>
    <w:rsid w:val="00E44FF8"/>
    <w:rsid w:val="00E51A55"/>
    <w:rsid w:val="00E52893"/>
    <w:rsid w:val="00E569E9"/>
    <w:rsid w:val="00E56E43"/>
    <w:rsid w:val="00E60018"/>
    <w:rsid w:val="00E67E4A"/>
    <w:rsid w:val="00E70471"/>
    <w:rsid w:val="00E70F5A"/>
    <w:rsid w:val="00E73F50"/>
    <w:rsid w:val="00E774C4"/>
    <w:rsid w:val="00E851FE"/>
    <w:rsid w:val="00E864AF"/>
    <w:rsid w:val="00E9587A"/>
    <w:rsid w:val="00EA2AA1"/>
    <w:rsid w:val="00EA345F"/>
    <w:rsid w:val="00EA35A0"/>
    <w:rsid w:val="00EA3EE6"/>
    <w:rsid w:val="00EB7DB6"/>
    <w:rsid w:val="00EC1D49"/>
    <w:rsid w:val="00EC5AA0"/>
    <w:rsid w:val="00ED6C10"/>
    <w:rsid w:val="00EE53A4"/>
    <w:rsid w:val="00EF1F0E"/>
    <w:rsid w:val="00F041B9"/>
    <w:rsid w:val="00F05B58"/>
    <w:rsid w:val="00F24F87"/>
    <w:rsid w:val="00F25F85"/>
    <w:rsid w:val="00F32CF0"/>
    <w:rsid w:val="00F33A2E"/>
    <w:rsid w:val="00F348DF"/>
    <w:rsid w:val="00F412A9"/>
    <w:rsid w:val="00F50E9B"/>
    <w:rsid w:val="00F50F70"/>
    <w:rsid w:val="00F53616"/>
    <w:rsid w:val="00F55BD9"/>
    <w:rsid w:val="00F637F3"/>
    <w:rsid w:val="00F64F6D"/>
    <w:rsid w:val="00F74AC1"/>
    <w:rsid w:val="00F77479"/>
    <w:rsid w:val="00F81F96"/>
    <w:rsid w:val="00F909CC"/>
    <w:rsid w:val="00F92EA0"/>
    <w:rsid w:val="00F9391C"/>
    <w:rsid w:val="00F9433E"/>
    <w:rsid w:val="00F94EDF"/>
    <w:rsid w:val="00F95D19"/>
    <w:rsid w:val="00F97848"/>
    <w:rsid w:val="00FA4375"/>
    <w:rsid w:val="00FA4445"/>
    <w:rsid w:val="00FA7E18"/>
    <w:rsid w:val="00FB0A43"/>
    <w:rsid w:val="00FB5EA5"/>
    <w:rsid w:val="00FC2F2A"/>
    <w:rsid w:val="00FC3200"/>
    <w:rsid w:val="00FC43F7"/>
    <w:rsid w:val="00FC523E"/>
    <w:rsid w:val="00FD460F"/>
    <w:rsid w:val="00FD5BA2"/>
    <w:rsid w:val="00FD72C1"/>
    <w:rsid w:val="00FE0CEA"/>
    <w:rsid w:val="00FE4230"/>
    <w:rsid w:val="00FE5DF9"/>
    <w:rsid w:val="00FE6A6C"/>
    <w:rsid w:val="00FF146D"/>
    <w:rsid w:val="00FF391B"/>
    <w:rsid w:val="00FF69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0936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9366A"/>
    <w:rPr>
      <w:rFonts w:asciiTheme="majorHAnsi" w:eastAsiaTheme="majorEastAsia" w:hAnsiTheme="majorHAnsi" w:cstheme="majorBidi"/>
      <w:color w:val="365F91" w:themeColor="accent1" w:themeShade="BF"/>
      <w:sz w:val="32"/>
      <w:szCs w:val="32"/>
    </w:rPr>
  </w:style>
  <w:style w:type="paragraph" w:customStyle="1" w:styleId="Default">
    <w:name w:val="Default"/>
    <w:rsid w:val="00F50E9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C746F"/>
    <w:pPr>
      <w:spacing w:after="0" w:line="240" w:lineRule="auto"/>
      <w:ind w:left="708"/>
    </w:pPr>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13F76"/>
    <w:rPr>
      <w:vertAlign w:val="superscript"/>
    </w:rPr>
  </w:style>
  <w:style w:type="paragraph" w:styleId="Textodeglobo">
    <w:name w:val="Balloon Text"/>
    <w:basedOn w:val="Normal"/>
    <w:link w:val="TextodegloboCar"/>
    <w:uiPriority w:val="99"/>
    <w:semiHidden/>
    <w:unhideWhenUsed/>
    <w:rsid w:val="00D34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8"/>
    <w:rPr>
      <w:rFonts w:ascii="Segoe UI" w:hAnsi="Segoe UI" w:cs="Segoe UI"/>
      <w:sz w:val="18"/>
      <w:szCs w:val="18"/>
    </w:rPr>
  </w:style>
  <w:style w:type="paragraph" w:customStyle="1" w:styleId="CuerpoA">
    <w:name w:val="Cuerpo A"/>
    <w:rsid w:val="003A3C1B"/>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0936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9366A"/>
    <w:rPr>
      <w:rFonts w:asciiTheme="majorHAnsi" w:eastAsiaTheme="majorEastAsia" w:hAnsiTheme="majorHAnsi" w:cstheme="majorBidi"/>
      <w:color w:val="365F91" w:themeColor="accent1" w:themeShade="BF"/>
      <w:sz w:val="32"/>
      <w:szCs w:val="32"/>
    </w:rPr>
  </w:style>
  <w:style w:type="paragraph" w:customStyle="1" w:styleId="Default">
    <w:name w:val="Default"/>
    <w:rsid w:val="00F50E9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C746F"/>
    <w:pPr>
      <w:spacing w:after="0" w:line="240" w:lineRule="auto"/>
      <w:ind w:left="708"/>
    </w:pPr>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13F76"/>
    <w:rPr>
      <w:vertAlign w:val="superscript"/>
    </w:rPr>
  </w:style>
  <w:style w:type="paragraph" w:styleId="Textodeglobo">
    <w:name w:val="Balloon Text"/>
    <w:basedOn w:val="Normal"/>
    <w:link w:val="TextodegloboCar"/>
    <w:uiPriority w:val="99"/>
    <w:semiHidden/>
    <w:unhideWhenUsed/>
    <w:rsid w:val="00D34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357">
      <w:bodyDiv w:val="1"/>
      <w:marLeft w:val="0"/>
      <w:marRight w:val="0"/>
      <w:marTop w:val="0"/>
      <w:marBottom w:val="0"/>
      <w:divBdr>
        <w:top w:val="none" w:sz="0" w:space="0" w:color="auto"/>
        <w:left w:val="none" w:sz="0" w:space="0" w:color="auto"/>
        <w:bottom w:val="none" w:sz="0" w:space="0" w:color="auto"/>
        <w:right w:val="none" w:sz="0" w:space="0" w:color="auto"/>
      </w:divBdr>
    </w:div>
    <w:div w:id="14344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5C6B-A61F-4C76-A9AE-5BBDAA5A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4154</Words>
  <Characters>22848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20</cp:revision>
  <cp:lastPrinted>2017-01-17T23:35:00Z</cp:lastPrinted>
  <dcterms:created xsi:type="dcterms:W3CDTF">2016-08-09T21:25:00Z</dcterms:created>
  <dcterms:modified xsi:type="dcterms:W3CDTF">2017-01-17T23:38:00Z</dcterms:modified>
</cp:coreProperties>
</file>